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AA26F">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14:paraId="3B0B07F4">
      <w:pPr>
        <w:jc w:val="center"/>
        <w:rPr>
          <w:b/>
          <w:sz w:val="24"/>
          <w:highlight w:val="none"/>
        </w:rPr>
      </w:pPr>
      <w:r>
        <w:rPr>
          <w:rFonts w:hint="eastAsia"/>
          <w:b/>
          <w:sz w:val="24"/>
          <w:highlight w:val="none"/>
        </w:rPr>
        <w:t>第一包</w:t>
      </w:r>
    </w:p>
    <w:p w14:paraId="4A7AC648">
      <w:pPr>
        <w:rPr>
          <w:sz w:val="24"/>
          <w:highlight w:val="none"/>
        </w:rPr>
      </w:pPr>
      <w:r>
        <w:rPr>
          <w:rFonts w:hint="eastAsia"/>
          <w:b/>
          <w:sz w:val="24"/>
          <w:highlight w:val="none"/>
        </w:rPr>
        <w:t>一、采购标的</w:t>
      </w:r>
      <w:r>
        <w:rPr>
          <w:rFonts w:hint="eastAsia"/>
          <w:sz w:val="24"/>
          <w:highlight w:val="none"/>
        </w:rPr>
        <w:t>：</w:t>
      </w:r>
    </w:p>
    <w:p w14:paraId="5CA79A3F">
      <w:pPr>
        <w:pStyle w:val="3"/>
        <w:spacing w:line="360" w:lineRule="auto"/>
        <w:ind w:left="36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（一）项目情况：</w:t>
      </w:r>
    </w:p>
    <w:tbl>
      <w:tblPr>
        <w:tblStyle w:val="8"/>
        <w:tblW w:w="8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856"/>
        <w:gridCol w:w="4345"/>
        <w:gridCol w:w="2462"/>
        <w:gridCol w:w="856"/>
      </w:tblGrid>
      <w:tr w14:paraId="1FCE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blHeader/>
          <w:jc w:val="center"/>
        </w:trPr>
        <w:tc>
          <w:tcPr>
            <w:tcW w:w="856" w:type="dxa"/>
            <w:noWrap w:val="0"/>
            <w:vAlign w:val="center"/>
          </w:tcPr>
          <w:p w14:paraId="7666CE2A">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包号</w:t>
            </w:r>
          </w:p>
        </w:tc>
        <w:tc>
          <w:tcPr>
            <w:tcW w:w="4345" w:type="dxa"/>
            <w:noWrap w:val="0"/>
            <w:vAlign w:val="center"/>
          </w:tcPr>
          <w:p w14:paraId="60B9B71C">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标的名称</w:t>
            </w:r>
          </w:p>
        </w:tc>
        <w:tc>
          <w:tcPr>
            <w:tcW w:w="2462" w:type="dxa"/>
            <w:noWrap w:val="0"/>
            <w:vAlign w:val="center"/>
          </w:tcPr>
          <w:p w14:paraId="5C2A67E6">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采购包预算金额</w:t>
            </w:r>
          </w:p>
          <w:p w14:paraId="1FEF9BEE">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（万元）</w:t>
            </w:r>
          </w:p>
        </w:tc>
        <w:tc>
          <w:tcPr>
            <w:tcW w:w="856" w:type="dxa"/>
            <w:noWrap w:val="0"/>
            <w:vAlign w:val="center"/>
          </w:tcPr>
          <w:p w14:paraId="69E5F88C">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数量</w:t>
            </w:r>
          </w:p>
        </w:tc>
      </w:tr>
      <w:tr w14:paraId="33B7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jc w:val="center"/>
        </w:trPr>
        <w:tc>
          <w:tcPr>
            <w:tcW w:w="856" w:type="dxa"/>
            <w:noWrap w:val="0"/>
            <w:vAlign w:val="center"/>
          </w:tcPr>
          <w:p w14:paraId="73BEF7C5">
            <w:pPr>
              <w:widowControl/>
              <w:autoSpaceDE w:val="0"/>
              <w:autoSpaceDN w:val="0"/>
              <w:snapToGrid w:val="0"/>
              <w:jc w:val="center"/>
              <w:textAlignment w:val="center"/>
              <w:rPr>
                <w:rFonts w:ascii="宋体" w:hAnsi="宋体" w:cs="宋体"/>
                <w:color w:val="000000"/>
                <w:kern w:val="0"/>
                <w:sz w:val="24"/>
                <w:highlight w:val="none"/>
                <w:lang w:eastAsia="en-US" w:bidi="ar"/>
              </w:rPr>
            </w:pPr>
            <w:r>
              <w:rPr>
                <w:rFonts w:hint="eastAsia" w:ascii="宋体" w:hAnsi="宋体" w:cs="宋体"/>
                <w:color w:val="000000"/>
                <w:kern w:val="0"/>
                <w:sz w:val="24"/>
                <w:highlight w:val="none"/>
                <w:lang w:eastAsia="en-US" w:bidi="ar"/>
              </w:rPr>
              <w:t>1</w:t>
            </w:r>
          </w:p>
        </w:tc>
        <w:tc>
          <w:tcPr>
            <w:tcW w:w="4345" w:type="dxa"/>
            <w:noWrap w:val="0"/>
            <w:vAlign w:val="center"/>
          </w:tcPr>
          <w:p w14:paraId="773799E5">
            <w:pPr>
              <w:widowControl/>
              <w:autoSpaceDE w:val="0"/>
              <w:autoSpaceDN w:val="0"/>
              <w:snapToGrid w:val="0"/>
              <w:jc w:val="center"/>
              <w:textAlignment w:val="center"/>
              <w:rPr>
                <w:rFonts w:ascii="宋体" w:hAnsi="宋体" w:cs="宋体"/>
                <w:color w:val="000000"/>
                <w:kern w:val="0"/>
                <w:sz w:val="24"/>
                <w:highlight w:val="none"/>
                <w:lang w:eastAsia="en-US" w:bidi="ar"/>
              </w:rPr>
            </w:pPr>
            <w:r>
              <w:rPr>
                <w:rFonts w:hint="eastAsia" w:ascii="宋体" w:hAnsi="宋体" w:eastAsia="宋体" w:cs="宋体"/>
                <w:kern w:val="44"/>
                <w:sz w:val="24"/>
                <w:highlight w:val="none"/>
                <w:lang w:eastAsia="zh-CN" w:bidi="ar"/>
              </w:rPr>
              <w:t>北京市应急指挥保障中心2026-2027年度信息系统政务云租用项目（第一包）</w:t>
            </w:r>
          </w:p>
        </w:tc>
        <w:tc>
          <w:tcPr>
            <w:tcW w:w="2462" w:type="dxa"/>
            <w:noWrap w:val="0"/>
            <w:vAlign w:val="center"/>
          </w:tcPr>
          <w:p w14:paraId="689C1053">
            <w:pPr>
              <w:widowControl/>
              <w:autoSpaceDE w:val="0"/>
              <w:autoSpaceDN w:val="0"/>
              <w:snapToGrid w:val="0"/>
              <w:jc w:val="center"/>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230.5193</w:t>
            </w:r>
          </w:p>
        </w:tc>
        <w:tc>
          <w:tcPr>
            <w:tcW w:w="856" w:type="dxa"/>
            <w:noWrap w:val="0"/>
            <w:vAlign w:val="center"/>
          </w:tcPr>
          <w:p w14:paraId="4F83EEE9">
            <w:pPr>
              <w:widowControl/>
              <w:autoSpaceDE w:val="0"/>
              <w:autoSpaceDN w:val="0"/>
              <w:snapToGrid w:val="0"/>
              <w:jc w:val="center"/>
              <w:textAlignment w:val="center"/>
              <w:rPr>
                <w:rFonts w:ascii="宋体" w:hAnsi="宋体" w:cs="宋体"/>
                <w:color w:val="000000"/>
                <w:kern w:val="0"/>
                <w:sz w:val="24"/>
                <w:highlight w:val="none"/>
                <w:lang w:eastAsia="en-US" w:bidi="ar"/>
              </w:rPr>
            </w:pPr>
            <w:r>
              <w:rPr>
                <w:rFonts w:hint="eastAsia" w:ascii="宋体" w:hAnsi="宋体" w:cs="宋体"/>
                <w:color w:val="000000"/>
                <w:kern w:val="0"/>
                <w:sz w:val="24"/>
                <w:highlight w:val="none"/>
                <w:lang w:eastAsia="en-US" w:bidi="ar"/>
              </w:rPr>
              <w:t>1</w:t>
            </w:r>
          </w:p>
        </w:tc>
      </w:tr>
    </w:tbl>
    <w:p w14:paraId="0FDFB050">
      <w:pPr>
        <w:pStyle w:val="3"/>
        <w:spacing w:line="360" w:lineRule="auto"/>
        <w:ind w:left="36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（二）项目背景或概况</w:t>
      </w:r>
    </w:p>
    <w:p w14:paraId="78B44206">
      <w:pPr>
        <w:keepNext w:val="0"/>
        <w:keepLines w:val="0"/>
        <w:pageBreakBefore w:val="0"/>
        <w:widowControl w:val="0"/>
        <w:tabs>
          <w:tab w:val="left" w:pos="567"/>
        </w:tabs>
        <w:kinsoku/>
        <w:wordWrap/>
        <w:overflowPunct/>
        <w:topLinePunct w:val="0"/>
        <w:autoSpaceDE/>
        <w:autoSpaceDN/>
        <w:bidi w:val="0"/>
        <w:adjustRightInd/>
        <w:snapToGrid/>
        <w:spacing w:line="360" w:lineRule="auto"/>
        <w:ind w:left="28" w:firstLine="420"/>
        <w:textAlignment w:val="auto"/>
        <w:rPr>
          <w:rFonts w:hint="eastAsia" w:ascii="宋体" w:hAnsi="宋体" w:eastAsia="宋体" w:cs="宋体"/>
          <w:kern w:val="44"/>
          <w:sz w:val="24"/>
          <w:highlight w:val="none"/>
        </w:rPr>
      </w:pPr>
      <w:r>
        <w:rPr>
          <w:rFonts w:hint="eastAsia" w:ascii="宋体" w:hAnsi="宋体" w:eastAsia="宋体" w:cs="宋体"/>
          <w:kern w:val="44"/>
          <w:sz w:val="24"/>
          <w:highlight w:val="none"/>
        </w:rPr>
        <w:t>为贯彻落实北京市经济和信息化局关于印发《北京市市级政务云管理办法的通知》（京经信委函（2019）150号）文件的要求，北京市应急指挥保障中心业务系统已迁移部署至市级政务云平台。</w:t>
      </w:r>
    </w:p>
    <w:p w14:paraId="1EC82BBF">
      <w:pPr>
        <w:rPr>
          <w:b/>
          <w:sz w:val="24"/>
          <w:highlight w:val="none"/>
        </w:rPr>
      </w:pPr>
      <w:r>
        <w:rPr>
          <w:rFonts w:hint="eastAsia"/>
          <w:b/>
          <w:sz w:val="24"/>
          <w:highlight w:val="none"/>
        </w:rPr>
        <w:t>二、商务要求</w:t>
      </w:r>
    </w:p>
    <w:p w14:paraId="0CC68660">
      <w:pPr>
        <w:pStyle w:val="2"/>
        <w:spacing w:line="360" w:lineRule="auto"/>
        <w:jc w:val="left"/>
        <w:rPr>
          <w:rFonts w:hint="eastAsia" w:ascii="宋体" w:hAnsi="宋体" w:eastAsia="宋体" w:cs="宋体"/>
          <w:b w:val="0"/>
          <w:kern w:val="44"/>
          <w:sz w:val="24"/>
          <w:szCs w:val="22"/>
          <w:highlight w:val="none"/>
          <w:lang w:val="en-US" w:eastAsia="zh-CN" w:bidi="ar-SA"/>
        </w:rPr>
      </w:pPr>
      <w:r>
        <w:rPr>
          <w:rFonts w:hint="eastAsia" w:ascii="仿宋_GB2312" w:hAnsi="仿宋_GB2312" w:eastAsia="仿宋_GB2312" w:cs="仿宋_GB2312"/>
          <w:b w:val="0"/>
          <w:sz w:val="24"/>
          <w:szCs w:val="24"/>
          <w:highlight w:val="none"/>
        </w:rPr>
        <w:t>（</w:t>
      </w:r>
      <w:r>
        <w:rPr>
          <w:rFonts w:hint="eastAsia" w:ascii="宋体" w:hAnsi="宋体" w:eastAsia="宋体" w:cs="宋体"/>
          <w:b w:val="0"/>
          <w:kern w:val="44"/>
          <w:sz w:val="24"/>
          <w:szCs w:val="22"/>
          <w:highlight w:val="none"/>
          <w:lang w:val="en-US" w:eastAsia="zh-CN" w:bidi="ar-SA"/>
        </w:rPr>
        <w:t xml:space="preserve">一）服务地点 </w:t>
      </w:r>
    </w:p>
    <w:p w14:paraId="19376095">
      <w:pPr>
        <w:pStyle w:val="2"/>
        <w:spacing w:line="360" w:lineRule="auto"/>
        <w:jc w:val="left"/>
        <w:rPr>
          <w:rFonts w:hint="eastAsia" w:ascii="宋体" w:hAnsi="宋体" w:eastAsia="宋体" w:cs="宋体"/>
          <w:b w:val="0"/>
          <w:kern w:val="44"/>
          <w:sz w:val="24"/>
          <w:szCs w:val="22"/>
          <w:highlight w:val="none"/>
          <w:lang w:val="en-US" w:eastAsia="zh-CN" w:bidi="ar-SA"/>
        </w:rPr>
      </w:pPr>
      <w:r>
        <w:rPr>
          <w:rFonts w:hint="eastAsia" w:ascii="宋体" w:hAnsi="宋体" w:eastAsia="宋体" w:cs="宋体"/>
          <w:b w:val="0"/>
          <w:kern w:val="44"/>
          <w:sz w:val="24"/>
          <w:szCs w:val="22"/>
          <w:highlight w:val="none"/>
          <w:lang w:val="en-US" w:eastAsia="zh-CN" w:bidi="ar-SA"/>
        </w:rPr>
        <w:t>服务地点：北京市政务云机房。</w:t>
      </w:r>
    </w:p>
    <w:p w14:paraId="4C289ECC">
      <w:pPr>
        <w:pStyle w:val="2"/>
        <w:spacing w:line="360" w:lineRule="auto"/>
        <w:jc w:val="left"/>
        <w:rPr>
          <w:rFonts w:hint="eastAsia" w:ascii="宋体" w:hAnsi="宋体" w:eastAsia="宋体" w:cs="宋体"/>
          <w:b w:val="0"/>
          <w:kern w:val="44"/>
          <w:sz w:val="24"/>
          <w:szCs w:val="22"/>
          <w:highlight w:val="none"/>
          <w:lang w:val="en-US" w:eastAsia="zh-CN" w:bidi="ar-SA"/>
        </w:rPr>
      </w:pPr>
      <w:r>
        <w:rPr>
          <w:rFonts w:hint="eastAsia" w:ascii="宋体" w:hAnsi="宋体" w:eastAsia="宋体" w:cs="宋体"/>
          <w:b w:val="0"/>
          <w:kern w:val="44"/>
          <w:sz w:val="24"/>
          <w:szCs w:val="22"/>
          <w:highlight w:val="none"/>
          <w:lang w:val="en-US" w:eastAsia="zh-CN" w:bidi="ar-SA"/>
        </w:rPr>
        <w:t xml:space="preserve">（二）服务期限 </w:t>
      </w:r>
    </w:p>
    <w:p w14:paraId="130AA8D3">
      <w:pPr>
        <w:widowControl/>
        <w:adjustRightInd/>
        <w:spacing w:line="360" w:lineRule="auto"/>
        <w:ind w:firstLine="480" w:firstLineChars="200"/>
        <w:jc w:val="left"/>
        <w:textAlignment w:val="auto"/>
        <w:rPr>
          <w:rFonts w:hint="eastAsia" w:ascii="宋体" w:hAnsi="宋体" w:eastAsia="宋体" w:cs="宋体"/>
          <w:b w:val="0"/>
          <w:kern w:val="44"/>
          <w:sz w:val="24"/>
          <w:szCs w:val="22"/>
          <w:highlight w:val="none"/>
          <w:lang w:val="en-US" w:eastAsia="zh-CN" w:bidi="ar-SA"/>
        </w:rPr>
      </w:pPr>
      <w:r>
        <w:rPr>
          <w:rFonts w:hint="eastAsia" w:ascii="宋体" w:hAnsi="宋体" w:eastAsia="宋体" w:cs="宋体"/>
          <w:b w:val="0"/>
          <w:kern w:val="44"/>
          <w:sz w:val="24"/>
          <w:szCs w:val="22"/>
          <w:highlight w:val="none"/>
          <w:lang w:val="en-US" w:eastAsia="zh-CN" w:bidi="ar-SA"/>
        </w:rPr>
        <w:t>服务期限：</w:t>
      </w:r>
      <w:r>
        <w:rPr>
          <w:rFonts w:hint="eastAsia"/>
          <w:bCs w:val="0"/>
          <w:sz w:val="24"/>
          <w:szCs w:val="24"/>
          <w:highlight w:val="none"/>
          <w:lang w:val="en-US" w:eastAsia="zh-CN"/>
        </w:rPr>
        <w:t>2026年7月17日至2027年7月16日。</w:t>
      </w:r>
    </w:p>
    <w:p w14:paraId="52CA7D66">
      <w:pPr>
        <w:pStyle w:val="2"/>
        <w:spacing w:line="360" w:lineRule="auto"/>
        <w:jc w:val="left"/>
        <w:rPr>
          <w:rFonts w:hint="eastAsia" w:ascii="宋体" w:hAnsi="宋体" w:eastAsia="宋体" w:cs="宋体"/>
          <w:b w:val="0"/>
          <w:kern w:val="44"/>
          <w:sz w:val="24"/>
          <w:szCs w:val="22"/>
          <w:highlight w:val="none"/>
          <w:lang w:val="en-US" w:eastAsia="zh-CN" w:bidi="ar-SA"/>
        </w:rPr>
      </w:pPr>
      <w:r>
        <w:rPr>
          <w:rFonts w:hint="eastAsia" w:ascii="宋体" w:hAnsi="宋体" w:eastAsia="宋体" w:cs="宋体"/>
          <w:b w:val="0"/>
          <w:kern w:val="44"/>
          <w:sz w:val="24"/>
          <w:szCs w:val="22"/>
          <w:highlight w:val="none"/>
          <w:lang w:val="en-US" w:eastAsia="zh-CN" w:bidi="ar-SA"/>
        </w:rPr>
        <w:t>（三）验收服务标准</w:t>
      </w:r>
    </w:p>
    <w:p w14:paraId="55138B21">
      <w:pPr>
        <w:spacing w:line="360" w:lineRule="auto"/>
        <w:ind w:firstLine="480" w:firstLineChars="200"/>
        <w:rPr>
          <w:rFonts w:hint="eastAsia" w:ascii="宋体" w:hAnsi="宋体" w:eastAsia="宋体" w:cs="宋体"/>
          <w:b w:val="0"/>
          <w:kern w:val="44"/>
          <w:sz w:val="24"/>
          <w:szCs w:val="22"/>
          <w:highlight w:val="none"/>
          <w:lang w:val="en-US" w:eastAsia="zh-CN" w:bidi="ar-SA"/>
        </w:rPr>
      </w:pPr>
      <w:r>
        <w:rPr>
          <w:rFonts w:hint="eastAsia" w:ascii="宋体" w:hAnsi="宋体" w:eastAsia="宋体" w:cs="宋体"/>
          <w:b w:val="0"/>
          <w:kern w:val="44"/>
          <w:sz w:val="24"/>
          <w:szCs w:val="22"/>
          <w:highlight w:val="none"/>
          <w:lang w:val="en-US" w:eastAsia="zh-CN" w:bidi="ar-SA"/>
        </w:rPr>
        <w:t>中标人所提供资源应满足招标文件及相关合同规定的要求。保证合同期内系统安全稳定运行，不因硬件故障导致服务中断12小时。服务期满后30个工作日开始对合同项目进行验收。投标人应当在采购人指定的验收日前向采购人提交验收报告。验收报告的内容包括但不限于，合同规定的各项服务清单，各系统设备运行情况。</w:t>
      </w:r>
    </w:p>
    <w:p w14:paraId="1AAEC732">
      <w:pPr>
        <w:pStyle w:val="2"/>
        <w:spacing w:line="360" w:lineRule="auto"/>
        <w:jc w:val="left"/>
        <w:rPr>
          <w:rFonts w:hint="eastAsia" w:ascii="宋体" w:hAnsi="宋体" w:eastAsia="宋体" w:cs="宋体"/>
          <w:b w:val="0"/>
          <w:kern w:val="44"/>
          <w:sz w:val="24"/>
          <w:szCs w:val="22"/>
          <w:highlight w:val="none"/>
          <w:lang w:val="en-US" w:eastAsia="zh-CN" w:bidi="ar-SA"/>
        </w:rPr>
      </w:pPr>
      <w:r>
        <w:rPr>
          <w:rFonts w:hint="eastAsia" w:ascii="宋体" w:hAnsi="宋体" w:eastAsia="宋体" w:cs="宋体"/>
          <w:b w:val="0"/>
          <w:kern w:val="44"/>
          <w:sz w:val="24"/>
          <w:szCs w:val="22"/>
          <w:highlight w:val="none"/>
          <w:lang w:val="en-US" w:eastAsia="zh-CN" w:bidi="ar-SA"/>
        </w:rPr>
        <w:t>（四）服务费用及支付方式</w:t>
      </w:r>
    </w:p>
    <w:p w14:paraId="25C8A705">
      <w:pPr>
        <w:numPr>
          <w:ilvl w:val="-1"/>
          <w:numId w:val="0"/>
        </w:numPr>
        <w:spacing w:line="360" w:lineRule="auto"/>
        <w:ind w:left="0" w:leftChars="0" w:firstLine="480" w:firstLineChars="200"/>
        <w:rPr>
          <w:rFonts w:hint="eastAsia" w:ascii="宋体" w:hAnsi="宋体" w:cs="宋体"/>
          <w:bCs w:val="0"/>
          <w:kern w:val="44"/>
          <w:sz w:val="24"/>
          <w:szCs w:val="22"/>
          <w:highlight w:val="none"/>
        </w:rPr>
      </w:pPr>
      <w:r>
        <w:rPr>
          <w:rFonts w:hint="eastAsia" w:ascii="宋体" w:hAnsi="宋体" w:cs="宋体"/>
          <w:bCs w:val="0"/>
          <w:kern w:val="44"/>
          <w:sz w:val="24"/>
          <w:szCs w:val="22"/>
          <w:highlight w:val="none"/>
        </w:rPr>
        <w:t>1、本合同服务费用共计人民币小写：</w:t>
      </w:r>
      <w:r>
        <w:rPr>
          <w:rFonts w:hint="eastAsia" w:ascii="宋体" w:hAnsi="宋体" w:cs="宋体"/>
          <w:bCs w:val="0"/>
          <w:kern w:val="44"/>
          <w:sz w:val="24"/>
          <w:szCs w:val="22"/>
          <w:highlight w:val="none"/>
          <w:lang w:val="en-US" w:eastAsia="zh-CN"/>
        </w:rPr>
        <w:t xml:space="preserve">    </w:t>
      </w:r>
      <w:r>
        <w:rPr>
          <w:rFonts w:hint="eastAsia" w:ascii="宋体" w:hAnsi="宋体" w:cs="宋体"/>
          <w:bCs w:val="0"/>
          <w:kern w:val="44"/>
          <w:sz w:val="24"/>
          <w:szCs w:val="22"/>
          <w:highlight w:val="none"/>
        </w:rPr>
        <w:t>元，大写：</w:t>
      </w:r>
      <w:r>
        <w:rPr>
          <w:rFonts w:hint="eastAsia" w:ascii="宋体" w:hAnsi="宋体" w:cs="宋体"/>
          <w:bCs w:val="0"/>
          <w:kern w:val="44"/>
          <w:sz w:val="24"/>
          <w:szCs w:val="22"/>
          <w:highlight w:val="none"/>
          <w:lang w:val="en-US" w:eastAsia="zh-CN"/>
        </w:rPr>
        <w:t xml:space="preserve">    </w:t>
      </w:r>
      <w:r>
        <w:rPr>
          <w:rFonts w:hint="eastAsia" w:ascii="宋体" w:hAnsi="宋体" w:cs="宋体"/>
          <w:bCs w:val="0"/>
          <w:kern w:val="44"/>
          <w:sz w:val="24"/>
          <w:szCs w:val="22"/>
          <w:highlight w:val="none"/>
        </w:rPr>
        <w:t>，本合同服务费已经包含乙方完成本合同项下服务的全部费用，除前述款项外，甲方不再支付其他任何费用。</w:t>
      </w:r>
    </w:p>
    <w:p w14:paraId="04158CB8">
      <w:pPr>
        <w:numPr>
          <w:ilvl w:val="-1"/>
          <w:numId w:val="0"/>
        </w:numPr>
        <w:spacing w:line="360" w:lineRule="auto"/>
        <w:ind w:left="0" w:leftChars="0" w:firstLine="480" w:firstLineChars="200"/>
        <w:rPr>
          <w:rFonts w:hint="eastAsia" w:ascii="宋体" w:hAnsi="宋体" w:cs="宋体"/>
          <w:bCs w:val="0"/>
          <w:kern w:val="44"/>
          <w:sz w:val="24"/>
          <w:szCs w:val="22"/>
          <w:highlight w:val="none"/>
        </w:rPr>
      </w:pPr>
      <w:r>
        <w:rPr>
          <w:rFonts w:hint="eastAsia" w:ascii="宋体" w:hAnsi="宋体" w:cs="宋体"/>
          <w:bCs w:val="0"/>
          <w:kern w:val="44"/>
          <w:sz w:val="24"/>
          <w:szCs w:val="22"/>
          <w:highlight w:val="none"/>
        </w:rPr>
        <w:t>2、甲方应于本合同签订且</w:t>
      </w:r>
      <w:r>
        <w:rPr>
          <w:rFonts w:hint="eastAsia" w:ascii="宋体" w:hAnsi="宋体" w:cs="宋体"/>
          <w:bCs w:val="0"/>
          <w:kern w:val="44"/>
          <w:sz w:val="24"/>
          <w:szCs w:val="22"/>
          <w:highlight w:val="none"/>
          <w:lang w:eastAsia="zh-CN"/>
        </w:rPr>
        <w:t>本合同进入服务期后，</w:t>
      </w:r>
      <w:r>
        <w:rPr>
          <w:rFonts w:hint="eastAsia" w:ascii="宋体" w:hAnsi="宋体" w:cs="宋体"/>
          <w:bCs w:val="0"/>
          <w:kern w:val="44"/>
          <w:sz w:val="24"/>
          <w:szCs w:val="22"/>
          <w:highlight w:val="none"/>
        </w:rPr>
        <w:t>财政经费下达后1</w:t>
      </w:r>
      <w:r>
        <w:rPr>
          <w:rFonts w:hint="eastAsia" w:ascii="宋体" w:hAnsi="宋体" w:cs="宋体"/>
          <w:bCs w:val="0"/>
          <w:kern w:val="44"/>
          <w:sz w:val="24"/>
          <w:szCs w:val="22"/>
          <w:highlight w:val="none"/>
          <w:lang w:val="en-US" w:eastAsia="zh-CN"/>
        </w:rPr>
        <w:t>0</w:t>
      </w:r>
      <w:r>
        <w:rPr>
          <w:rFonts w:hint="eastAsia" w:ascii="宋体" w:hAnsi="宋体" w:cs="宋体"/>
          <w:bCs w:val="0"/>
          <w:kern w:val="44"/>
          <w:sz w:val="24"/>
          <w:szCs w:val="22"/>
          <w:highlight w:val="none"/>
        </w:rPr>
        <w:t>个工作日内，向乙方支付合同服务费的60%，金额为人民币小写：</w:t>
      </w:r>
      <w:r>
        <w:rPr>
          <w:rFonts w:hint="eastAsia" w:ascii="宋体" w:hAnsi="宋体" w:cs="宋体"/>
          <w:bCs w:val="0"/>
          <w:kern w:val="44"/>
          <w:sz w:val="24"/>
          <w:szCs w:val="22"/>
          <w:highlight w:val="none"/>
          <w:u w:val="none"/>
          <w:lang w:val="en-US" w:eastAsia="zh-CN"/>
        </w:rPr>
        <w:t xml:space="preserve">     </w:t>
      </w:r>
      <w:r>
        <w:rPr>
          <w:rFonts w:hint="eastAsia" w:ascii="宋体" w:hAnsi="宋体" w:cs="宋体"/>
          <w:bCs w:val="0"/>
          <w:kern w:val="44"/>
          <w:sz w:val="24"/>
          <w:szCs w:val="22"/>
          <w:highlight w:val="none"/>
        </w:rPr>
        <w:t>元，大写：</w:t>
      </w:r>
      <w:r>
        <w:rPr>
          <w:rFonts w:hint="eastAsia" w:ascii="宋体" w:hAnsi="宋体" w:cs="宋体"/>
          <w:bCs w:val="0"/>
          <w:kern w:val="44"/>
          <w:sz w:val="24"/>
          <w:szCs w:val="22"/>
          <w:highlight w:val="none"/>
          <w:lang w:val="en-US" w:eastAsia="zh-CN"/>
        </w:rPr>
        <w:t xml:space="preserve">     </w:t>
      </w:r>
      <w:r>
        <w:rPr>
          <w:rFonts w:hint="eastAsia" w:ascii="宋体" w:hAnsi="宋体" w:cs="宋体"/>
          <w:bCs w:val="0"/>
          <w:kern w:val="44"/>
          <w:sz w:val="24"/>
          <w:szCs w:val="22"/>
          <w:highlight w:val="none"/>
        </w:rPr>
        <w:t>，</w:t>
      </w:r>
    </w:p>
    <w:p w14:paraId="55D749A9">
      <w:pPr>
        <w:numPr>
          <w:ilvl w:val="-1"/>
          <w:numId w:val="0"/>
        </w:numPr>
        <w:spacing w:line="360" w:lineRule="auto"/>
        <w:ind w:left="0" w:leftChars="0" w:firstLine="480" w:firstLineChars="200"/>
        <w:rPr>
          <w:rFonts w:hint="eastAsia" w:ascii="宋体" w:hAnsi="宋体" w:cs="宋体"/>
          <w:bCs w:val="0"/>
          <w:kern w:val="44"/>
          <w:sz w:val="24"/>
          <w:szCs w:val="22"/>
          <w:highlight w:val="none"/>
        </w:rPr>
      </w:pPr>
      <w:r>
        <w:rPr>
          <w:rFonts w:hint="eastAsia" w:ascii="宋体" w:hAnsi="宋体" w:cs="宋体"/>
          <w:bCs w:val="0"/>
          <w:kern w:val="44"/>
          <w:sz w:val="24"/>
          <w:szCs w:val="22"/>
          <w:highlight w:val="none"/>
        </w:rPr>
        <w:t>3、甲方应于本合同服务期满</w:t>
      </w:r>
      <w:r>
        <w:rPr>
          <w:rFonts w:hint="eastAsia" w:ascii="宋体" w:hAnsi="宋体" w:cs="宋体"/>
          <w:bCs w:val="0"/>
          <w:kern w:val="44"/>
          <w:sz w:val="24"/>
          <w:szCs w:val="22"/>
          <w:highlight w:val="none"/>
          <w:lang w:val="en-US" w:eastAsia="zh-CN"/>
        </w:rPr>
        <w:t>9</w:t>
      </w:r>
      <w:r>
        <w:rPr>
          <w:rFonts w:hint="eastAsia" w:ascii="宋体" w:hAnsi="宋体" w:cs="宋体"/>
          <w:bCs w:val="0"/>
          <w:kern w:val="44"/>
          <w:sz w:val="24"/>
          <w:szCs w:val="22"/>
          <w:highlight w:val="none"/>
        </w:rPr>
        <w:t>个月且财政经费下达后1</w:t>
      </w:r>
      <w:r>
        <w:rPr>
          <w:rFonts w:hint="eastAsia" w:ascii="宋体" w:hAnsi="宋体" w:cs="宋体"/>
          <w:bCs w:val="0"/>
          <w:kern w:val="44"/>
          <w:sz w:val="24"/>
          <w:szCs w:val="22"/>
          <w:highlight w:val="none"/>
          <w:lang w:val="en-US" w:eastAsia="zh-CN"/>
        </w:rPr>
        <w:t>0</w:t>
      </w:r>
      <w:r>
        <w:rPr>
          <w:rFonts w:hint="eastAsia" w:ascii="宋体" w:hAnsi="宋体" w:cs="宋体"/>
          <w:bCs w:val="0"/>
          <w:kern w:val="44"/>
          <w:sz w:val="24"/>
          <w:szCs w:val="22"/>
          <w:highlight w:val="none"/>
        </w:rPr>
        <w:t>个工作日内，向乙方支付合同服务费的30%，金额为人民币小写：</w:t>
      </w:r>
      <w:r>
        <w:rPr>
          <w:rFonts w:hint="eastAsia" w:ascii="宋体" w:hAnsi="宋体" w:cs="宋体"/>
          <w:bCs w:val="0"/>
          <w:kern w:val="44"/>
          <w:sz w:val="24"/>
          <w:szCs w:val="22"/>
          <w:highlight w:val="none"/>
          <w:u w:val="none"/>
          <w:lang w:val="en-US" w:eastAsia="zh-CN"/>
        </w:rPr>
        <w:t xml:space="preserve">    </w:t>
      </w:r>
      <w:r>
        <w:rPr>
          <w:rFonts w:hint="eastAsia" w:ascii="宋体" w:hAnsi="宋体" w:cs="宋体"/>
          <w:bCs w:val="0"/>
          <w:kern w:val="44"/>
          <w:sz w:val="24"/>
          <w:szCs w:val="22"/>
          <w:highlight w:val="none"/>
        </w:rPr>
        <w:t>元，大写：</w:t>
      </w:r>
      <w:r>
        <w:rPr>
          <w:rFonts w:hint="eastAsia" w:ascii="宋体" w:hAnsi="宋体" w:cs="宋体"/>
          <w:bCs w:val="0"/>
          <w:kern w:val="44"/>
          <w:sz w:val="24"/>
          <w:szCs w:val="22"/>
          <w:highlight w:val="none"/>
          <w:lang w:val="en-US" w:eastAsia="zh-CN"/>
        </w:rPr>
        <w:t xml:space="preserve">    </w:t>
      </w:r>
      <w:r>
        <w:rPr>
          <w:rFonts w:hint="eastAsia" w:ascii="宋体" w:hAnsi="宋体" w:cs="宋体"/>
          <w:bCs w:val="0"/>
          <w:kern w:val="44"/>
          <w:sz w:val="24"/>
          <w:szCs w:val="22"/>
          <w:highlight w:val="none"/>
        </w:rPr>
        <w:t>，</w:t>
      </w:r>
    </w:p>
    <w:p w14:paraId="2E6B56E0">
      <w:pPr>
        <w:numPr>
          <w:ilvl w:val="-1"/>
          <w:numId w:val="0"/>
        </w:numPr>
        <w:spacing w:line="360" w:lineRule="auto"/>
        <w:ind w:left="0" w:leftChars="0" w:firstLine="480" w:firstLineChars="200"/>
        <w:rPr>
          <w:rFonts w:hint="eastAsia" w:ascii="宋体" w:hAnsi="宋体" w:cs="宋体"/>
          <w:bCs w:val="0"/>
          <w:kern w:val="44"/>
          <w:sz w:val="24"/>
          <w:szCs w:val="22"/>
          <w:highlight w:val="none"/>
        </w:rPr>
      </w:pPr>
      <w:r>
        <w:rPr>
          <w:rFonts w:hint="eastAsia" w:ascii="宋体" w:hAnsi="宋体" w:cs="宋体"/>
          <w:bCs w:val="0"/>
          <w:kern w:val="44"/>
          <w:sz w:val="24"/>
          <w:szCs w:val="22"/>
          <w:highlight w:val="none"/>
        </w:rPr>
        <w:t>4、合同服务到期后，通过项目验收且财政经费下达后1</w:t>
      </w:r>
      <w:r>
        <w:rPr>
          <w:rFonts w:hint="eastAsia" w:ascii="宋体" w:hAnsi="宋体" w:cs="宋体"/>
          <w:bCs w:val="0"/>
          <w:kern w:val="44"/>
          <w:sz w:val="24"/>
          <w:szCs w:val="22"/>
          <w:highlight w:val="none"/>
          <w:lang w:val="en-US" w:eastAsia="zh-CN"/>
        </w:rPr>
        <w:t>0</w:t>
      </w:r>
      <w:r>
        <w:rPr>
          <w:rFonts w:hint="eastAsia" w:ascii="宋体" w:hAnsi="宋体" w:cs="宋体"/>
          <w:bCs w:val="0"/>
          <w:kern w:val="44"/>
          <w:sz w:val="24"/>
          <w:szCs w:val="22"/>
          <w:highlight w:val="none"/>
        </w:rPr>
        <w:t>个工作日内，甲方向乙方支付合同服务费的10%，金额为人民币小写：</w:t>
      </w:r>
      <w:r>
        <w:rPr>
          <w:rFonts w:hint="eastAsia" w:ascii="宋体" w:hAnsi="宋体" w:cs="宋体"/>
          <w:bCs w:val="0"/>
          <w:kern w:val="44"/>
          <w:sz w:val="24"/>
          <w:szCs w:val="22"/>
          <w:highlight w:val="none"/>
          <w:u w:val="none"/>
          <w:lang w:val="en-US" w:eastAsia="zh-CN"/>
        </w:rPr>
        <w:t xml:space="preserve">   </w:t>
      </w:r>
      <w:r>
        <w:rPr>
          <w:rFonts w:hint="eastAsia" w:ascii="宋体" w:hAnsi="宋体" w:cs="宋体"/>
          <w:bCs w:val="0"/>
          <w:kern w:val="44"/>
          <w:sz w:val="24"/>
          <w:szCs w:val="22"/>
          <w:highlight w:val="none"/>
        </w:rPr>
        <w:t>元，大写：</w:t>
      </w:r>
      <w:r>
        <w:rPr>
          <w:rFonts w:hint="eastAsia" w:ascii="宋体" w:hAnsi="宋体" w:cs="宋体"/>
          <w:bCs w:val="0"/>
          <w:kern w:val="44"/>
          <w:sz w:val="24"/>
          <w:szCs w:val="22"/>
          <w:highlight w:val="none"/>
          <w:lang w:val="en-US" w:eastAsia="zh-CN"/>
        </w:rPr>
        <w:t xml:space="preserve">   </w:t>
      </w:r>
      <w:r>
        <w:rPr>
          <w:rFonts w:hint="eastAsia" w:ascii="宋体" w:hAnsi="宋体" w:cs="宋体"/>
          <w:bCs w:val="0"/>
          <w:kern w:val="44"/>
          <w:sz w:val="24"/>
          <w:szCs w:val="22"/>
          <w:highlight w:val="none"/>
        </w:rPr>
        <w:t>，</w:t>
      </w:r>
    </w:p>
    <w:p w14:paraId="48585C53">
      <w:pPr>
        <w:spacing w:line="360" w:lineRule="auto"/>
        <w:ind w:left="0" w:leftChars="0" w:firstLine="480" w:firstLineChars="200"/>
        <w:rPr>
          <w:rFonts w:hint="eastAsia" w:ascii="宋体" w:hAnsi="宋体" w:cs="宋体"/>
          <w:bCs w:val="0"/>
          <w:kern w:val="44"/>
          <w:sz w:val="24"/>
          <w:szCs w:val="22"/>
          <w:highlight w:val="none"/>
        </w:rPr>
      </w:pPr>
      <w:r>
        <w:rPr>
          <w:rFonts w:hint="eastAsia" w:ascii="宋体" w:hAnsi="宋体" w:cs="宋体"/>
          <w:bCs w:val="0"/>
          <w:kern w:val="44"/>
          <w:sz w:val="24"/>
          <w:szCs w:val="22"/>
          <w:highlight w:val="none"/>
        </w:rPr>
        <w:t>5、乙方在甲方付款前需向甲方提供等额的法定正规发票，如乙方未向甲方提供合格发票，甲方有权延迟付款，且不承担违约责任。</w:t>
      </w:r>
    </w:p>
    <w:p w14:paraId="0FD84572">
      <w:pPr>
        <w:rPr>
          <w:b/>
          <w:sz w:val="24"/>
          <w:highlight w:val="none"/>
        </w:rPr>
      </w:pPr>
      <w:r>
        <w:rPr>
          <w:rFonts w:hint="eastAsia"/>
          <w:b/>
          <w:sz w:val="24"/>
          <w:highlight w:val="none"/>
        </w:rPr>
        <w:t>三、技术要求</w:t>
      </w:r>
    </w:p>
    <w:p w14:paraId="38D3472E">
      <w:pPr>
        <w:pStyle w:val="2"/>
        <w:spacing w:line="360" w:lineRule="auto"/>
        <w:jc w:val="left"/>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（一）政务云基础服务</w:t>
      </w:r>
    </w:p>
    <w:tbl>
      <w:tblPr>
        <w:tblStyle w:val="6"/>
        <w:tblpPr w:leftFromText="180" w:rightFromText="180" w:vertAnchor="text" w:horzAnchor="page" w:tblpX="1793" w:tblpY="22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79"/>
        <w:gridCol w:w="2482"/>
        <w:gridCol w:w="743"/>
        <w:gridCol w:w="848"/>
        <w:gridCol w:w="1427"/>
        <w:gridCol w:w="1417"/>
      </w:tblGrid>
      <w:tr w14:paraId="5813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noWrap w:val="0"/>
            <w:vAlign w:val="center"/>
          </w:tcPr>
          <w:p w14:paraId="4DCE2070">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服务类别</w:t>
            </w:r>
          </w:p>
        </w:tc>
        <w:tc>
          <w:tcPr>
            <w:tcW w:w="1679" w:type="dxa"/>
            <w:noWrap w:val="0"/>
            <w:vAlign w:val="center"/>
          </w:tcPr>
          <w:p w14:paraId="3309816C">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服务子类</w:t>
            </w:r>
          </w:p>
        </w:tc>
        <w:tc>
          <w:tcPr>
            <w:tcW w:w="2482" w:type="dxa"/>
            <w:noWrap w:val="0"/>
            <w:vAlign w:val="center"/>
          </w:tcPr>
          <w:p w14:paraId="6A9F6CD6">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服务项</w:t>
            </w:r>
          </w:p>
        </w:tc>
        <w:tc>
          <w:tcPr>
            <w:tcW w:w="743" w:type="dxa"/>
            <w:noWrap w:val="0"/>
            <w:vAlign w:val="center"/>
          </w:tcPr>
          <w:p w14:paraId="04639C91">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计价单位</w:t>
            </w:r>
          </w:p>
        </w:tc>
        <w:tc>
          <w:tcPr>
            <w:tcW w:w="848" w:type="dxa"/>
            <w:noWrap w:val="0"/>
            <w:vAlign w:val="center"/>
          </w:tcPr>
          <w:p w14:paraId="37B3DC0E">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报价单位</w:t>
            </w:r>
          </w:p>
        </w:tc>
        <w:tc>
          <w:tcPr>
            <w:tcW w:w="1427" w:type="dxa"/>
            <w:noWrap w:val="0"/>
            <w:vAlign w:val="center"/>
          </w:tcPr>
          <w:p w14:paraId="58F096FE">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数量</w:t>
            </w:r>
          </w:p>
        </w:tc>
        <w:tc>
          <w:tcPr>
            <w:tcW w:w="1417" w:type="dxa"/>
            <w:noWrap w:val="0"/>
            <w:vAlign w:val="center"/>
          </w:tcPr>
          <w:p w14:paraId="6D26A73A">
            <w:pPr>
              <w:widowControl/>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期限（月）</w:t>
            </w:r>
          </w:p>
        </w:tc>
      </w:tr>
      <w:tr w14:paraId="37E7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vMerge w:val="restart"/>
            <w:shd w:val="clear" w:color="auto" w:fill="auto"/>
            <w:noWrap w:val="0"/>
            <w:vAlign w:val="center"/>
          </w:tcPr>
          <w:p w14:paraId="0C879F0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计算服务</w:t>
            </w:r>
          </w:p>
        </w:tc>
        <w:tc>
          <w:tcPr>
            <w:tcW w:w="1679" w:type="dxa"/>
            <w:shd w:val="clear" w:color="000000" w:fill="FFFFFF"/>
            <w:noWrap w:val="0"/>
            <w:vAlign w:val="center"/>
          </w:tcPr>
          <w:p w14:paraId="42DD6B0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x86平台云主机服务</w:t>
            </w:r>
          </w:p>
        </w:tc>
        <w:tc>
          <w:tcPr>
            <w:tcW w:w="2482" w:type="dxa"/>
            <w:shd w:val="clear" w:color="000000" w:fill="FFFFFF"/>
            <w:noWrap w:val="0"/>
            <w:vAlign w:val="center"/>
          </w:tcPr>
          <w:p w14:paraId="768D49C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vCPU（主频不低于2.4GHz）</w:t>
            </w:r>
          </w:p>
        </w:tc>
        <w:tc>
          <w:tcPr>
            <w:tcW w:w="743" w:type="dxa"/>
            <w:shd w:val="clear" w:color="000000" w:fill="FFFFFF"/>
            <w:noWrap w:val="0"/>
            <w:vAlign w:val="center"/>
          </w:tcPr>
          <w:p w14:paraId="2D5F178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CPU</w:t>
            </w:r>
          </w:p>
        </w:tc>
        <w:tc>
          <w:tcPr>
            <w:tcW w:w="848" w:type="dxa"/>
            <w:shd w:val="clear" w:color="000000" w:fill="FFFFFF"/>
            <w:noWrap w:val="0"/>
            <w:vAlign w:val="center"/>
          </w:tcPr>
          <w:p w14:paraId="438180F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550AAC62">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1232</w:t>
            </w:r>
          </w:p>
        </w:tc>
        <w:tc>
          <w:tcPr>
            <w:tcW w:w="1417" w:type="dxa"/>
            <w:noWrap/>
            <w:vAlign w:val="center"/>
          </w:tcPr>
          <w:p w14:paraId="082D4EF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4859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vMerge w:val="continue"/>
            <w:shd w:val="clear" w:color="auto" w:fill="auto"/>
            <w:noWrap w:val="0"/>
            <w:vAlign w:val="center"/>
          </w:tcPr>
          <w:p w14:paraId="212C1D09">
            <w:pPr>
              <w:widowControl/>
              <w:jc w:val="left"/>
              <w:rPr>
                <w:rFonts w:hint="eastAsia" w:ascii="宋体" w:hAnsi="宋体" w:eastAsia="宋体" w:cs="宋体"/>
                <w:color w:val="000000"/>
                <w:kern w:val="0"/>
                <w:sz w:val="24"/>
                <w:highlight w:val="none"/>
              </w:rPr>
            </w:pPr>
          </w:p>
        </w:tc>
        <w:tc>
          <w:tcPr>
            <w:tcW w:w="1679" w:type="dxa"/>
            <w:shd w:val="clear" w:color="000000" w:fill="FFFFFF"/>
            <w:noWrap w:val="0"/>
            <w:vAlign w:val="center"/>
          </w:tcPr>
          <w:p w14:paraId="15E2206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x86平台云主机服务</w:t>
            </w:r>
          </w:p>
        </w:tc>
        <w:tc>
          <w:tcPr>
            <w:tcW w:w="2482" w:type="dxa"/>
            <w:shd w:val="clear" w:color="000000" w:fill="FFFFFF"/>
            <w:noWrap w:val="0"/>
            <w:vAlign w:val="center"/>
          </w:tcPr>
          <w:p w14:paraId="3EEC68B2">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内存</w:t>
            </w:r>
          </w:p>
        </w:tc>
        <w:tc>
          <w:tcPr>
            <w:tcW w:w="743" w:type="dxa"/>
            <w:shd w:val="clear" w:color="000000" w:fill="FFFFFF"/>
            <w:noWrap w:val="0"/>
            <w:vAlign w:val="center"/>
          </w:tcPr>
          <w:p w14:paraId="02465AE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GB</w:t>
            </w:r>
          </w:p>
        </w:tc>
        <w:tc>
          <w:tcPr>
            <w:tcW w:w="848" w:type="dxa"/>
            <w:shd w:val="clear" w:color="000000" w:fill="FFFFFF"/>
            <w:noWrap w:val="0"/>
            <w:vAlign w:val="center"/>
          </w:tcPr>
          <w:p w14:paraId="64FEE2E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1985F05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2896</w:t>
            </w:r>
          </w:p>
        </w:tc>
        <w:tc>
          <w:tcPr>
            <w:tcW w:w="1417" w:type="dxa"/>
            <w:noWrap/>
            <w:vAlign w:val="center"/>
          </w:tcPr>
          <w:p w14:paraId="228396C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36EF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vMerge w:val="restart"/>
            <w:shd w:val="clear" w:color="auto" w:fill="auto"/>
            <w:noWrap w:val="0"/>
            <w:vAlign w:val="center"/>
          </w:tcPr>
          <w:p w14:paraId="2F74B23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存储服务</w:t>
            </w:r>
          </w:p>
        </w:tc>
        <w:tc>
          <w:tcPr>
            <w:tcW w:w="1679" w:type="dxa"/>
            <w:shd w:val="clear" w:color="auto" w:fill="auto"/>
            <w:noWrap/>
            <w:vAlign w:val="center"/>
          </w:tcPr>
          <w:p w14:paraId="7F87983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普通存储</w:t>
            </w:r>
          </w:p>
        </w:tc>
        <w:tc>
          <w:tcPr>
            <w:tcW w:w="2482" w:type="dxa"/>
            <w:shd w:val="clear" w:color="000000" w:fill="FFFFFF"/>
            <w:noWrap w:val="0"/>
            <w:vAlign w:val="center"/>
          </w:tcPr>
          <w:p w14:paraId="63AF489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普通存储(单盘技术指标:单盘IOPS 2000-5000)）</w:t>
            </w:r>
          </w:p>
        </w:tc>
        <w:tc>
          <w:tcPr>
            <w:tcW w:w="743" w:type="dxa"/>
            <w:shd w:val="clear" w:color="000000" w:fill="FFFFFF"/>
            <w:noWrap w:val="0"/>
            <w:vAlign w:val="center"/>
          </w:tcPr>
          <w:p w14:paraId="5D8F553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GB</w:t>
            </w:r>
          </w:p>
        </w:tc>
        <w:tc>
          <w:tcPr>
            <w:tcW w:w="848" w:type="dxa"/>
            <w:shd w:val="clear" w:color="000000" w:fill="FFFFFF"/>
            <w:noWrap w:val="0"/>
            <w:vAlign w:val="center"/>
          </w:tcPr>
          <w:p w14:paraId="0F073C4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1DA768C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52116</w:t>
            </w:r>
          </w:p>
        </w:tc>
        <w:tc>
          <w:tcPr>
            <w:tcW w:w="1417" w:type="dxa"/>
            <w:noWrap/>
            <w:vAlign w:val="center"/>
          </w:tcPr>
          <w:p w14:paraId="6887C29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06BD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vMerge w:val="continue"/>
            <w:shd w:val="clear" w:color="auto" w:fill="auto"/>
            <w:noWrap w:val="0"/>
            <w:vAlign w:val="center"/>
          </w:tcPr>
          <w:p w14:paraId="3CF95D29">
            <w:pPr>
              <w:widowControl/>
              <w:jc w:val="left"/>
              <w:rPr>
                <w:rFonts w:hint="eastAsia" w:ascii="宋体" w:hAnsi="宋体" w:eastAsia="宋体" w:cs="宋体"/>
                <w:color w:val="000000"/>
                <w:kern w:val="0"/>
                <w:sz w:val="24"/>
                <w:highlight w:val="none"/>
              </w:rPr>
            </w:pPr>
          </w:p>
        </w:tc>
        <w:tc>
          <w:tcPr>
            <w:tcW w:w="1679" w:type="dxa"/>
            <w:shd w:val="clear" w:color="auto" w:fill="auto"/>
            <w:noWrap/>
            <w:vAlign w:val="center"/>
          </w:tcPr>
          <w:p w14:paraId="6B55887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高性能存储</w:t>
            </w:r>
          </w:p>
        </w:tc>
        <w:tc>
          <w:tcPr>
            <w:tcW w:w="2482" w:type="dxa"/>
            <w:shd w:val="clear" w:color="000000" w:fill="FFFFFF"/>
            <w:noWrap w:val="0"/>
            <w:vAlign w:val="center"/>
          </w:tcPr>
          <w:p w14:paraId="2EE32DF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高性能存储(单盘技术指标：单盘IOPS 10000-25000)</w:t>
            </w:r>
          </w:p>
        </w:tc>
        <w:tc>
          <w:tcPr>
            <w:tcW w:w="743" w:type="dxa"/>
            <w:shd w:val="clear" w:color="000000" w:fill="FFFFFF"/>
            <w:noWrap w:val="0"/>
            <w:vAlign w:val="center"/>
          </w:tcPr>
          <w:p w14:paraId="188326D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GB</w:t>
            </w:r>
          </w:p>
        </w:tc>
        <w:tc>
          <w:tcPr>
            <w:tcW w:w="848" w:type="dxa"/>
            <w:shd w:val="clear" w:color="000000" w:fill="FFFFFF"/>
            <w:noWrap w:val="0"/>
            <w:vAlign w:val="center"/>
          </w:tcPr>
          <w:p w14:paraId="714F855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573C3F4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36582</w:t>
            </w:r>
          </w:p>
        </w:tc>
        <w:tc>
          <w:tcPr>
            <w:tcW w:w="1417" w:type="dxa"/>
            <w:noWrap/>
            <w:vAlign w:val="center"/>
          </w:tcPr>
          <w:p w14:paraId="69A4EB9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475E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vMerge w:val="continue"/>
            <w:shd w:val="clear" w:color="auto" w:fill="auto"/>
            <w:noWrap w:val="0"/>
            <w:vAlign w:val="center"/>
          </w:tcPr>
          <w:p w14:paraId="4FD374A2">
            <w:pPr>
              <w:widowControl/>
              <w:jc w:val="left"/>
              <w:rPr>
                <w:rFonts w:hint="eastAsia" w:ascii="宋体" w:hAnsi="宋体" w:eastAsia="宋体" w:cs="宋体"/>
                <w:color w:val="000000"/>
                <w:kern w:val="0"/>
                <w:sz w:val="24"/>
                <w:highlight w:val="none"/>
              </w:rPr>
            </w:pPr>
          </w:p>
        </w:tc>
        <w:tc>
          <w:tcPr>
            <w:tcW w:w="1679" w:type="dxa"/>
            <w:shd w:val="clear" w:color="auto" w:fill="auto"/>
            <w:noWrap/>
            <w:vAlign w:val="center"/>
          </w:tcPr>
          <w:p w14:paraId="487DD80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静态存储</w:t>
            </w:r>
          </w:p>
        </w:tc>
        <w:tc>
          <w:tcPr>
            <w:tcW w:w="2482" w:type="dxa"/>
            <w:shd w:val="clear" w:color="000000" w:fill="FFFFFF"/>
            <w:noWrap w:val="0"/>
            <w:vAlign w:val="center"/>
          </w:tcPr>
          <w:p w14:paraId="2E4DB1E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大容量、高可靠的数据存储服务，具备PB级线性扩展能力</w:t>
            </w:r>
          </w:p>
        </w:tc>
        <w:tc>
          <w:tcPr>
            <w:tcW w:w="743" w:type="dxa"/>
            <w:shd w:val="clear" w:color="000000" w:fill="FFFFFF"/>
            <w:noWrap w:val="0"/>
            <w:vAlign w:val="center"/>
          </w:tcPr>
          <w:p w14:paraId="79D811E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TB</w:t>
            </w:r>
          </w:p>
        </w:tc>
        <w:tc>
          <w:tcPr>
            <w:tcW w:w="848" w:type="dxa"/>
            <w:shd w:val="clear" w:color="000000" w:fill="FFFFFF"/>
            <w:noWrap w:val="0"/>
            <w:vAlign w:val="center"/>
          </w:tcPr>
          <w:p w14:paraId="1EE4342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2352DE6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4.648</w:t>
            </w:r>
          </w:p>
        </w:tc>
        <w:tc>
          <w:tcPr>
            <w:tcW w:w="1417" w:type="dxa"/>
            <w:noWrap/>
            <w:vAlign w:val="center"/>
          </w:tcPr>
          <w:p w14:paraId="0C636A9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3026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shd w:val="clear" w:color="auto" w:fill="auto"/>
            <w:noWrap w:val="0"/>
            <w:vAlign w:val="center"/>
          </w:tcPr>
          <w:p w14:paraId="6312C32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其它服务</w:t>
            </w:r>
          </w:p>
        </w:tc>
        <w:tc>
          <w:tcPr>
            <w:tcW w:w="1679" w:type="dxa"/>
            <w:shd w:val="clear" w:color="auto" w:fill="auto"/>
            <w:noWrap/>
            <w:vAlign w:val="center"/>
          </w:tcPr>
          <w:p w14:paraId="6B66055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本地主机备份服务</w:t>
            </w:r>
          </w:p>
        </w:tc>
        <w:tc>
          <w:tcPr>
            <w:tcW w:w="2482" w:type="dxa"/>
            <w:shd w:val="clear" w:color="000000" w:fill="FFFFFF"/>
            <w:noWrap w:val="0"/>
            <w:vAlign w:val="center"/>
          </w:tcPr>
          <w:p w14:paraId="5FFAAAD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本地备份服务</w:t>
            </w:r>
          </w:p>
        </w:tc>
        <w:tc>
          <w:tcPr>
            <w:tcW w:w="743" w:type="dxa"/>
            <w:shd w:val="clear" w:color="000000" w:fill="FFFFFF"/>
            <w:noWrap w:val="0"/>
            <w:vAlign w:val="center"/>
          </w:tcPr>
          <w:p w14:paraId="58D2BF0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GB</w:t>
            </w:r>
          </w:p>
        </w:tc>
        <w:tc>
          <w:tcPr>
            <w:tcW w:w="848" w:type="dxa"/>
            <w:shd w:val="clear" w:color="000000" w:fill="FFFFFF"/>
            <w:noWrap w:val="0"/>
            <w:vAlign w:val="center"/>
          </w:tcPr>
          <w:p w14:paraId="7D9AF8D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2C802652">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4648</w:t>
            </w:r>
          </w:p>
        </w:tc>
        <w:tc>
          <w:tcPr>
            <w:tcW w:w="1417" w:type="dxa"/>
            <w:noWrap/>
            <w:vAlign w:val="center"/>
          </w:tcPr>
          <w:p w14:paraId="4BA7E3B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4FF0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vMerge w:val="restart"/>
            <w:shd w:val="clear" w:color="auto" w:fill="auto"/>
            <w:noWrap w:val="0"/>
            <w:vAlign w:val="center"/>
          </w:tcPr>
          <w:p w14:paraId="3037EE3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网络服务</w:t>
            </w:r>
          </w:p>
        </w:tc>
        <w:tc>
          <w:tcPr>
            <w:tcW w:w="1679" w:type="dxa"/>
            <w:shd w:val="clear" w:color="auto" w:fill="auto"/>
            <w:noWrap/>
            <w:vAlign w:val="center"/>
          </w:tcPr>
          <w:p w14:paraId="3A8C1215">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互联网链路带宽</w:t>
            </w:r>
          </w:p>
        </w:tc>
        <w:tc>
          <w:tcPr>
            <w:tcW w:w="2482" w:type="dxa"/>
            <w:shd w:val="clear" w:color="000000" w:fill="FFFFFF"/>
            <w:noWrap w:val="0"/>
            <w:vAlign w:val="center"/>
          </w:tcPr>
          <w:p w14:paraId="096EA22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互联网链路带宽</w:t>
            </w:r>
          </w:p>
        </w:tc>
        <w:tc>
          <w:tcPr>
            <w:tcW w:w="743" w:type="dxa"/>
            <w:shd w:val="clear" w:color="000000" w:fill="FFFFFF"/>
            <w:noWrap w:val="0"/>
            <w:vAlign w:val="center"/>
          </w:tcPr>
          <w:p w14:paraId="058A1C9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Mb</w:t>
            </w:r>
          </w:p>
        </w:tc>
        <w:tc>
          <w:tcPr>
            <w:tcW w:w="848" w:type="dxa"/>
            <w:shd w:val="clear" w:color="000000" w:fill="FFFFFF"/>
            <w:noWrap w:val="0"/>
            <w:vAlign w:val="center"/>
          </w:tcPr>
          <w:p w14:paraId="0CBDFF65">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1B0FC542">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200</w:t>
            </w:r>
          </w:p>
        </w:tc>
        <w:tc>
          <w:tcPr>
            <w:tcW w:w="1417" w:type="dxa"/>
            <w:noWrap/>
            <w:vAlign w:val="center"/>
          </w:tcPr>
          <w:p w14:paraId="605ED32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6A0B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26" w:type="dxa"/>
            <w:vMerge w:val="continue"/>
            <w:shd w:val="clear" w:color="auto" w:fill="auto"/>
            <w:noWrap w:val="0"/>
            <w:vAlign w:val="center"/>
          </w:tcPr>
          <w:p w14:paraId="7CF4A0C1">
            <w:pPr>
              <w:widowControl/>
              <w:jc w:val="left"/>
              <w:rPr>
                <w:rFonts w:hint="eastAsia" w:ascii="宋体" w:hAnsi="宋体" w:eastAsia="宋体" w:cs="宋体"/>
                <w:color w:val="000000"/>
                <w:kern w:val="0"/>
                <w:sz w:val="24"/>
                <w:highlight w:val="none"/>
              </w:rPr>
            </w:pPr>
          </w:p>
        </w:tc>
        <w:tc>
          <w:tcPr>
            <w:tcW w:w="1679" w:type="dxa"/>
            <w:shd w:val="clear" w:color="auto" w:fill="auto"/>
            <w:noWrap w:val="0"/>
            <w:vAlign w:val="center"/>
          </w:tcPr>
          <w:p w14:paraId="170118A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互联网IP地址租用服务、并提供备案服务</w:t>
            </w:r>
          </w:p>
        </w:tc>
        <w:tc>
          <w:tcPr>
            <w:tcW w:w="2482" w:type="dxa"/>
            <w:shd w:val="clear" w:color="000000" w:fill="FFFFFF"/>
            <w:noWrap w:val="0"/>
            <w:vAlign w:val="center"/>
          </w:tcPr>
          <w:p w14:paraId="0715F79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互联网IP地址租用服务、并提供备案服务</w:t>
            </w:r>
          </w:p>
        </w:tc>
        <w:tc>
          <w:tcPr>
            <w:tcW w:w="743" w:type="dxa"/>
            <w:shd w:val="clear" w:color="000000" w:fill="FFFFFF"/>
            <w:noWrap w:val="0"/>
            <w:vAlign w:val="center"/>
          </w:tcPr>
          <w:p w14:paraId="51DF506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IP</w:t>
            </w:r>
          </w:p>
        </w:tc>
        <w:tc>
          <w:tcPr>
            <w:tcW w:w="848" w:type="dxa"/>
            <w:shd w:val="clear" w:color="000000" w:fill="FFFFFF"/>
            <w:noWrap w:val="0"/>
            <w:vAlign w:val="center"/>
          </w:tcPr>
          <w:p w14:paraId="3F18458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016CF54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417" w:type="dxa"/>
            <w:noWrap/>
            <w:vAlign w:val="center"/>
          </w:tcPr>
          <w:p w14:paraId="6FF3AC08">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0608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6" w:type="dxa"/>
            <w:vMerge w:val="continue"/>
            <w:shd w:val="clear" w:color="auto" w:fill="auto"/>
            <w:noWrap w:val="0"/>
            <w:vAlign w:val="center"/>
          </w:tcPr>
          <w:p w14:paraId="7ACF703B">
            <w:pPr>
              <w:widowControl/>
              <w:jc w:val="left"/>
              <w:rPr>
                <w:rFonts w:hint="eastAsia" w:ascii="宋体" w:hAnsi="宋体" w:eastAsia="宋体" w:cs="宋体"/>
                <w:color w:val="000000"/>
                <w:kern w:val="0"/>
                <w:sz w:val="24"/>
                <w:highlight w:val="none"/>
              </w:rPr>
            </w:pPr>
          </w:p>
        </w:tc>
        <w:tc>
          <w:tcPr>
            <w:tcW w:w="1679" w:type="dxa"/>
            <w:shd w:val="clear" w:color="auto" w:fill="auto"/>
            <w:noWrap/>
            <w:vAlign w:val="center"/>
          </w:tcPr>
          <w:p w14:paraId="0264907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主机负载均衡服务</w:t>
            </w:r>
          </w:p>
        </w:tc>
        <w:tc>
          <w:tcPr>
            <w:tcW w:w="2482" w:type="dxa"/>
            <w:shd w:val="clear" w:color="000000" w:fill="FFFFFF"/>
            <w:noWrap w:val="0"/>
            <w:vAlign w:val="center"/>
          </w:tcPr>
          <w:p w14:paraId="6349FE4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主机负载均衡服务</w:t>
            </w:r>
          </w:p>
        </w:tc>
        <w:tc>
          <w:tcPr>
            <w:tcW w:w="743" w:type="dxa"/>
            <w:shd w:val="clear" w:color="000000" w:fill="FFFFFF"/>
            <w:noWrap w:val="0"/>
            <w:vAlign w:val="center"/>
          </w:tcPr>
          <w:p w14:paraId="663DAAB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IP（内网）</w:t>
            </w:r>
          </w:p>
        </w:tc>
        <w:tc>
          <w:tcPr>
            <w:tcW w:w="848" w:type="dxa"/>
            <w:shd w:val="clear" w:color="000000" w:fill="FFFFFF"/>
            <w:noWrap w:val="0"/>
            <w:vAlign w:val="center"/>
          </w:tcPr>
          <w:p w14:paraId="73F884A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75BFBC2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417" w:type="dxa"/>
            <w:noWrap/>
            <w:vAlign w:val="center"/>
          </w:tcPr>
          <w:p w14:paraId="3F479E7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05DE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vMerge w:val="continue"/>
            <w:shd w:val="clear" w:color="auto" w:fill="auto"/>
            <w:noWrap w:val="0"/>
            <w:vAlign w:val="center"/>
          </w:tcPr>
          <w:p w14:paraId="5A03B09A">
            <w:pPr>
              <w:widowControl/>
              <w:jc w:val="left"/>
              <w:rPr>
                <w:rFonts w:hint="eastAsia" w:ascii="宋体" w:hAnsi="宋体" w:eastAsia="宋体" w:cs="宋体"/>
                <w:color w:val="000000"/>
                <w:kern w:val="0"/>
                <w:sz w:val="24"/>
                <w:highlight w:val="none"/>
              </w:rPr>
            </w:pPr>
          </w:p>
        </w:tc>
        <w:tc>
          <w:tcPr>
            <w:tcW w:w="1679" w:type="dxa"/>
            <w:shd w:val="clear" w:color="auto" w:fill="auto"/>
            <w:noWrap/>
            <w:vAlign w:val="center"/>
          </w:tcPr>
          <w:p w14:paraId="2598C0E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远程接入服务</w:t>
            </w:r>
          </w:p>
        </w:tc>
        <w:tc>
          <w:tcPr>
            <w:tcW w:w="2482" w:type="dxa"/>
            <w:shd w:val="clear" w:color="000000" w:fill="FFFFFF"/>
            <w:noWrap w:val="0"/>
            <w:vAlign w:val="center"/>
          </w:tcPr>
          <w:p w14:paraId="6679862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每个账号结合身份验证通过VPN远程接入堡垒机进行维护</w:t>
            </w:r>
          </w:p>
        </w:tc>
        <w:tc>
          <w:tcPr>
            <w:tcW w:w="743" w:type="dxa"/>
            <w:shd w:val="clear" w:color="000000" w:fill="FFFFFF"/>
            <w:noWrap w:val="0"/>
            <w:vAlign w:val="center"/>
          </w:tcPr>
          <w:p w14:paraId="66CE93A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1套</w:t>
            </w:r>
          </w:p>
        </w:tc>
        <w:tc>
          <w:tcPr>
            <w:tcW w:w="848" w:type="dxa"/>
            <w:shd w:val="clear" w:color="000000" w:fill="FFFFFF"/>
            <w:noWrap w:val="0"/>
            <w:vAlign w:val="center"/>
          </w:tcPr>
          <w:p w14:paraId="59DBC28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0BE09AF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w:t>
            </w:r>
          </w:p>
        </w:tc>
        <w:tc>
          <w:tcPr>
            <w:tcW w:w="1417" w:type="dxa"/>
            <w:noWrap/>
            <w:vAlign w:val="center"/>
          </w:tcPr>
          <w:p w14:paraId="2AF9B329">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r w14:paraId="1499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6" w:type="dxa"/>
            <w:vMerge w:val="continue"/>
            <w:shd w:val="clear" w:color="auto" w:fill="auto"/>
            <w:noWrap w:val="0"/>
            <w:vAlign w:val="center"/>
          </w:tcPr>
          <w:p w14:paraId="3985B7F2">
            <w:pPr>
              <w:widowControl/>
              <w:jc w:val="left"/>
              <w:rPr>
                <w:rFonts w:hint="eastAsia" w:ascii="宋体" w:hAnsi="宋体" w:eastAsia="宋体" w:cs="宋体"/>
                <w:color w:val="000000"/>
                <w:kern w:val="0"/>
                <w:sz w:val="24"/>
                <w:highlight w:val="none"/>
              </w:rPr>
            </w:pPr>
          </w:p>
        </w:tc>
        <w:tc>
          <w:tcPr>
            <w:tcW w:w="1679" w:type="dxa"/>
            <w:shd w:val="clear" w:color="auto" w:fill="auto"/>
            <w:noWrap/>
            <w:vAlign w:val="center"/>
          </w:tcPr>
          <w:p w14:paraId="4799E8C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WAF防护</w:t>
            </w:r>
          </w:p>
        </w:tc>
        <w:tc>
          <w:tcPr>
            <w:tcW w:w="2482" w:type="dxa"/>
            <w:shd w:val="clear" w:color="000000" w:fill="FFFFFF"/>
            <w:noWrap w:val="0"/>
            <w:vAlign w:val="center"/>
          </w:tcPr>
          <w:p w14:paraId="0BA3559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在网站前端架设WAF防护服务，保证用户网站对已知安全隐患进行防护，实时升级漏洞补丁，配置防护策略，可起到前端防护作用。</w:t>
            </w:r>
          </w:p>
        </w:tc>
        <w:tc>
          <w:tcPr>
            <w:tcW w:w="743" w:type="dxa"/>
            <w:shd w:val="clear" w:color="000000" w:fill="FFFFFF"/>
            <w:noWrap w:val="0"/>
            <w:vAlign w:val="center"/>
          </w:tcPr>
          <w:p w14:paraId="386F119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 IP（互联网）</w:t>
            </w:r>
          </w:p>
        </w:tc>
        <w:tc>
          <w:tcPr>
            <w:tcW w:w="848" w:type="dxa"/>
            <w:shd w:val="clear" w:color="000000" w:fill="FFFFFF"/>
            <w:noWrap w:val="0"/>
            <w:vAlign w:val="center"/>
          </w:tcPr>
          <w:p w14:paraId="6D56BCE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元/月</w:t>
            </w:r>
          </w:p>
        </w:tc>
        <w:tc>
          <w:tcPr>
            <w:tcW w:w="1427" w:type="dxa"/>
            <w:noWrap/>
            <w:vAlign w:val="center"/>
          </w:tcPr>
          <w:p w14:paraId="549BE3C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417" w:type="dxa"/>
            <w:noWrap/>
            <w:vAlign w:val="center"/>
          </w:tcPr>
          <w:p w14:paraId="5DAA6F2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w:t>
            </w:r>
          </w:p>
        </w:tc>
      </w:tr>
    </w:tbl>
    <w:p w14:paraId="0898F055">
      <w:pPr>
        <w:rPr>
          <w:rFonts w:hint="eastAsia" w:ascii="宋体" w:hAnsi="宋体" w:eastAsia="宋体" w:cs="宋体"/>
          <w:sz w:val="24"/>
          <w:highlight w:val="none"/>
        </w:rPr>
      </w:pPr>
    </w:p>
    <w:p w14:paraId="10E24EC5">
      <w:pPr>
        <w:pStyle w:val="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1、云计算技术需求</w:t>
      </w:r>
    </w:p>
    <w:tbl>
      <w:tblPr>
        <w:tblStyle w:val="6"/>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6739"/>
      </w:tblGrid>
      <w:tr w14:paraId="150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0" w:type="dxa"/>
            <w:shd w:val="clear" w:color="auto" w:fill="CCCCCC"/>
            <w:noWrap w:val="0"/>
            <w:vAlign w:val="center"/>
          </w:tcPr>
          <w:p w14:paraId="67E26E92">
            <w:pPr>
              <w:jc w:val="center"/>
              <w:rPr>
                <w:rFonts w:hint="eastAsia" w:ascii="宋体" w:hAnsi="宋体" w:eastAsia="宋体" w:cs="宋体"/>
                <w:b/>
                <w:sz w:val="24"/>
                <w:highlight w:val="none"/>
              </w:rPr>
            </w:pPr>
            <w:r>
              <w:rPr>
                <w:rFonts w:hint="eastAsia" w:ascii="宋体" w:hAnsi="宋体" w:eastAsia="宋体" w:cs="宋体"/>
                <w:b/>
                <w:sz w:val="24"/>
                <w:highlight w:val="none"/>
              </w:rPr>
              <w:t>指标项</w:t>
            </w:r>
          </w:p>
        </w:tc>
        <w:tc>
          <w:tcPr>
            <w:tcW w:w="6739" w:type="dxa"/>
            <w:shd w:val="clear" w:color="auto" w:fill="CCCCCC"/>
            <w:noWrap w:val="0"/>
            <w:vAlign w:val="center"/>
          </w:tcPr>
          <w:p w14:paraId="4B600079">
            <w:pPr>
              <w:jc w:val="center"/>
              <w:rPr>
                <w:rFonts w:hint="eastAsia" w:ascii="宋体" w:hAnsi="宋体" w:eastAsia="宋体" w:cs="宋体"/>
                <w:b/>
                <w:sz w:val="24"/>
                <w:highlight w:val="none"/>
              </w:rPr>
            </w:pPr>
            <w:r>
              <w:rPr>
                <w:rFonts w:hint="eastAsia" w:ascii="宋体" w:hAnsi="宋体" w:eastAsia="宋体" w:cs="宋体"/>
                <w:b/>
                <w:sz w:val="24"/>
                <w:highlight w:val="none"/>
              </w:rPr>
              <w:t>招标要求</w:t>
            </w:r>
          </w:p>
        </w:tc>
      </w:tr>
      <w:tr w14:paraId="5810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restart"/>
            <w:shd w:val="clear" w:color="auto" w:fill="auto"/>
            <w:noWrap w:val="0"/>
            <w:vAlign w:val="center"/>
          </w:tcPr>
          <w:p w14:paraId="77F045C5">
            <w:pPr>
              <w:widowControl/>
              <w:rPr>
                <w:rFonts w:hint="eastAsia" w:ascii="宋体" w:hAnsi="宋体" w:eastAsia="宋体" w:cs="宋体"/>
                <w:sz w:val="24"/>
                <w:highlight w:val="none"/>
              </w:rPr>
            </w:pPr>
            <w:r>
              <w:rPr>
                <w:rFonts w:hint="eastAsia" w:ascii="宋体" w:hAnsi="宋体" w:eastAsia="宋体" w:cs="宋体"/>
                <w:sz w:val="24"/>
                <w:highlight w:val="none"/>
              </w:rPr>
              <w:t>基本需求</w:t>
            </w:r>
          </w:p>
        </w:tc>
        <w:tc>
          <w:tcPr>
            <w:tcW w:w="6739" w:type="dxa"/>
            <w:shd w:val="clear" w:color="auto" w:fill="FFFFFF"/>
            <w:noWrap w:val="0"/>
            <w:vAlign w:val="top"/>
          </w:tcPr>
          <w:p w14:paraId="6D97CD6F">
            <w:pPr>
              <w:rPr>
                <w:rFonts w:hint="eastAsia" w:ascii="宋体" w:hAnsi="宋体" w:eastAsia="宋体" w:cs="宋体"/>
                <w:sz w:val="24"/>
                <w:highlight w:val="none"/>
              </w:rPr>
            </w:pPr>
            <w:r>
              <w:rPr>
                <w:rFonts w:hint="eastAsia" w:ascii="宋体" w:hAnsi="宋体" w:eastAsia="宋体" w:cs="宋体"/>
                <w:sz w:val="24"/>
                <w:highlight w:val="none"/>
              </w:rPr>
              <w:t>云主机资源支持弹性调整，可弹提供性扩展CPU、内存及数据盘磁盘，实例可用性达99.99%</w:t>
            </w:r>
          </w:p>
        </w:tc>
      </w:tr>
      <w:tr w14:paraId="2BD7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continue"/>
            <w:shd w:val="clear" w:color="auto" w:fill="auto"/>
            <w:noWrap w:val="0"/>
            <w:vAlign w:val="center"/>
          </w:tcPr>
          <w:p w14:paraId="75C3BFD6">
            <w:pPr>
              <w:widowControl/>
              <w:rPr>
                <w:rFonts w:hint="eastAsia" w:ascii="宋体" w:hAnsi="宋体" w:eastAsia="宋体" w:cs="宋体"/>
                <w:sz w:val="24"/>
                <w:highlight w:val="none"/>
              </w:rPr>
            </w:pPr>
          </w:p>
        </w:tc>
        <w:tc>
          <w:tcPr>
            <w:tcW w:w="6739" w:type="dxa"/>
            <w:shd w:val="clear" w:color="auto" w:fill="FFFFFF"/>
            <w:noWrap w:val="0"/>
            <w:vAlign w:val="top"/>
          </w:tcPr>
          <w:p w14:paraId="254AE18A">
            <w:pPr>
              <w:rPr>
                <w:rFonts w:hint="eastAsia" w:ascii="宋体" w:hAnsi="宋体" w:eastAsia="宋体" w:cs="宋体"/>
                <w:sz w:val="24"/>
                <w:highlight w:val="none"/>
              </w:rPr>
            </w:pPr>
            <w:r>
              <w:rPr>
                <w:rFonts w:hint="eastAsia" w:ascii="宋体" w:hAnsi="宋体" w:eastAsia="宋体" w:cs="宋体"/>
                <w:sz w:val="24"/>
                <w:highlight w:val="none"/>
              </w:rPr>
              <w:t>支持虚拟机的跨物理服务器的在线迁移</w:t>
            </w:r>
          </w:p>
        </w:tc>
      </w:tr>
      <w:tr w14:paraId="0B8A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continue"/>
            <w:shd w:val="clear" w:color="auto" w:fill="auto"/>
            <w:noWrap w:val="0"/>
            <w:vAlign w:val="center"/>
          </w:tcPr>
          <w:p w14:paraId="75B1E6C9">
            <w:pPr>
              <w:widowControl/>
              <w:rPr>
                <w:rFonts w:hint="eastAsia" w:ascii="宋体" w:hAnsi="宋体" w:eastAsia="宋体" w:cs="宋体"/>
                <w:sz w:val="24"/>
                <w:highlight w:val="none"/>
              </w:rPr>
            </w:pPr>
          </w:p>
        </w:tc>
        <w:tc>
          <w:tcPr>
            <w:tcW w:w="6739" w:type="dxa"/>
            <w:shd w:val="clear" w:color="auto" w:fill="FFFFFF"/>
            <w:noWrap w:val="0"/>
            <w:vAlign w:val="top"/>
          </w:tcPr>
          <w:p w14:paraId="0DCDA7D0">
            <w:pPr>
              <w:rPr>
                <w:rFonts w:hint="eastAsia" w:ascii="宋体" w:hAnsi="宋体" w:eastAsia="宋体" w:cs="宋体"/>
                <w:sz w:val="24"/>
                <w:highlight w:val="none"/>
              </w:rPr>
            </w:pPr>
            <w:r>
              <w:rPr>
                <w:rFonts w:hint="eastAsia" w:ascii="宋体" w:hAnsi="宋体" w:eastAsia="宋体" w:cs="宋体"/>
                <w:sz w:val="24"/>
                <w:highlight w:val="none"/>
              </w:rPr>
              <w:t>虚拟机支持秒级启动功能</w:t>
            </w:r>
          </w:p>
        </w:tc>
      </w:tr>
      <w:tr w14:paraId="43A5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50" w:type="dxa"/>
            <w:vMerge w:val="continue"/>
            <w:shd w:val="clear" w:color="auto" w:fill="auto"/>
            <w:noWrap w:val="0"/>
            <w:vAlign w:val="center"/>
          </w:tcPr>
          <w:p w14:paraId="74A67DD1">
            <w:pPr>
              <w:widowControl/>
              <w:rPr>
                <w:rFonts w:hint="eastAsia" w:ascii="宋体" w:hAnsi="宋体" w:eastAsia="宋体" w:cs="宋体"/>
                <w:sz w:val="24"/>
                <w:highlight w:val="none"/>
              </w:rPr>
            </w:pPr>
          </w:p>
        </w:tc>
        <w:tc>
          <w:tcPr>
            <w:tcW w:w="6739" w:type="dxa"/>
            <w:shd w:val="clear" w:color="auto" w:fill="FFFFFF"/>
            <w:noWrap w:val="0"/>
            <w:vAlign w:val="top"/>
          </w:tcPr>
          <w:p w14:paraId="4B5407B5">
            <w:pPr>
              <w:rPr>
                <w:rFonts w:hint="eastAsia" w:ascii="宋体" w:hAnsi="宋体" w:eastAsia="宋体" w:cs="宋体"/>
                <w:sz w:val="24"/>
                <w:highlight w:val="none"/>
              </w:rPr>
            </w:pPr>
            <w:r>
              <w:rPr>
                <w:rFonts w:hint="eastAsia" w:ascii="宋体" w:hAnsi="宋体" w:eastAsia="宋体" w:cs="宋体"/>
                <w:sz w:val="24"/>
                <w:highlight w:val="none"/>
              </w:rPr>
              <w:t>支持用户自主制作镜像功能</w:t>
            </w:r>
          </w:p>
        </w:tc>
      </w:tr>
      <w:tr w14:paraId="57F3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50" w:type="dxa"/>
            <w:vMerge w:val="continue"/>
            <w:shd w:val="clear" w:color="auto" w:fill="auto"/>
            <w:noWrap w:val="0"/>
            <w:vAlign w:val="center"/>
          </w:tcPr>
          <w:p w14:paraId="1EE25449">
            <w:pPr>
              <w:widowControl/>
              <w:rPr>
                <w:rFonts w:hint="eastAsia" w:ascii="宋体" w:hAnsi="宋体" w:eastAsia="宋体" w:cs="宋体"/>
                <w:sz w:val="24"/>
                <w:highlight w:val="none"/>
              </w:rPr>
            </w:pPr>
          </w:p>
        </w:tc>
        <w:tc>
          <w:tcPr>
            <w:tcW w:w="6739" w:type="dxa"/>
            <w:shd w:val="clear" w:color="auto" w:fill="FFFFFF"/>
            <w:noWrap w:val="0"/>
            <w:vAlign w:val="top"/>
          </w:tcPr>
          <w:p w14:paraId="003C1400">
            <w:pPr>
              <w:rPr>
                <w:rFonts w:hint="eastAsia" w:ascii="宋体" w:hAnsi="宋体" w:eastAsia="宋体" w:cs="宋体"/>
                <w:sz w:val="24"/>
                <w:highlight w:val="none"/>
              </w:rPr>
            </w:pPr>
            <w:r>
              <w:rPr>
                <w:rFonts w:hint="eastAsia" w:ascii="宋体" w:hAnsi="宋体" w:eastAsia="宋体" w:cs="宋体"/>
                <w:sz w:val="24"/>
                <w:highlight w:val="none"/>
              </w:rPr>
              <w:t>支持用户自主访问、操作自服务平台</w:t>
            </w:r>
          </w:p>
        </w:tc>
      </w:tr>
      <w:tr w14:paraId="354C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noWrap w:val="0"/>
            <w:vAlign w:val="center"/>
          </w:tcPr>
          <w:p w14:paraId="3E8FB066">
            <w:pPr>
              <w:widowControl/>
              <w:rPr>
                <w:rFonts w:hint="eastAsia" w:ascii="宋体" w:hAnsi="宋体" w:eastAsia="宋体" w:cs="宋体"/>
                <w:sz w:val="24"/>
                <w:highlight w:val="none"/>
              </w:rPr>
            </w:pPr>
          </w:p>
        </w:tc>
        <w:tc>
          <w:tcPr>
            <w:tcW w:w="6739" w:type="dxa"/>
            <w:shd w:val="clear" w:color="auto" w:fill="FFFFFF"/>
            <w:noWrap w:val="0"/>
            <w:vAlign w:val="top"/>
          </w:tcPr>
          <w:p w14:paraId="4A405461">
            <w:pPr>
              <w:rPr>
                <w:rFonts w:hint="eastAsia" w:ascii="宋体" w:hAnsi="宋体" w:eastAsia="宋体" w:cs="宋体"/>
                <w:sz w:val="24"/>
                <w:highlight w:val="none"/>
              </w:rPr>
            </w:pPr>
            <w:r>
              <w:rPr>
                <w:rFonts w:hint="eastAsia" w:ascii="宋体" w:hAnsi="宋体" w:eastAsia="宋体" w:cs="宋体"/>
                <w:sz w:val="24"/>
                <w:highlight w:val="none"/>
              </w:rPr>
              <w:t>支持实时监控功能</w:t>
            </w:r>
          </w:p>
        </w:tc>
      </w:tr>
      <w:tr w14:paraId="7536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noWrap w:val="0"/>
            <w:vAlign w:val="center"/>
          </w:tcPr>
          <w:p w14:paraId="5891B317">
            <w:pPr>
              <w:widowControl/>
              <w:rPr>
                <w:rFonts w:hint="eastAsia" w:ascii="宋体" w:hAnsi="宋体" w:eastAsia="宋体" w:cs="宋体"/>
                <w:sz w:val="24"/>
                <w:highlight w:val="none"/>
              </w:rPr>
            </w:pPr>
          </w:p>
        </w:tc>
        <w:tc>
          <w:tcPr>
            <w:tcW w:w="6739" w:type="dxa"/>
            <w:shd w:val="clear" w:color="auto" w:fill="FFFFFF"/>
            <w:noWrap w:val="0"/>
            <w:vAlign w:val="top"/>
          </w:tcPr>
          <w:p w14:paraId="4BF9EA9D">
            <w:pPr>
              <w:rPr>
                <w:rFonts w:hint="eastAsia" w:ascii="宋体" w:hAnsi="宋体" w:eastAsia="宋体" w:cs="宋体"/>
                <w:sz w:val="24"/>
                <w:highlight w:val="none"/>
              </w:rPr>
            </w:pPr>
            <w:r>
              <w:rPr>
                <w:rFonts w:hint="eastAsia" w:ascii="宋体" w:hAnsi="宋体" w:eastAsia="宋体" w:cs="宋体"/>
                <w:sz w:val="24"/>
                <w:highlight w:val="none"/>
              </w:rPr>
              <w:t>支持windows server 2008 、windows server 2012 、centos 、ubuntu</w:t>
            </w:r>
            <w:r>
              <w:rPr>
                <w:rFonts w:hint="eastAsia" w:ascii="宋体" w:hAnsi="宋体" w:eastAsia="宋体" w:cs="宋体"/>
                <w:sz w:val="24"/>
                <w:highlight w:val="none"/>
                <w:lang w:eastAsia="zh"/>
              </w:rPr>
              <w:t>、中标麒麟</w:t>
            </w:r>
            <w:r>
              <w:rPr>
                <w:rFonts w:hint="eastAsia" w:ascii="宋体" w:hAnsi="宋体" w:eastAsia="宋体" w:cs="宋体"/>
                <w:sz w:val="24"/>
                <w:highlight w:val="none"/>
              </w:rPr>
              <w:t>等主流操作系统</w:t>
            </w:r>
          </w:p>
        </w:tc>
      </w:tr>
      <w:tr w14:paraId="2F24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noWrap w:val="0"/>
            <w:vAlign w:val="center"/>
          </w:tcPr>
          <w:p w14:paraId="44D924E8">
            <w:pPr>
              <w:widowControl/>
              <w:rPr>
                <w:rFonts w:hint="eastAsia" w:ascii="宋体" w:hAnsi="宋体" w:eastAsia="宋体" w:cs="宋体"/>
                <w:sz w:val="24"/>
                <w:highlight w:val="none"/>
              </w:rPr>
            </w:pPr>
          </w:p>
        </w:tc>
        <w:tc>
          <w:tcPr>
            <w:tcW w:w="6739" w:type="dxa"/>
            <w:shd w:val="clear" w:color="auto" w:fill="FFFFFF"/>
            <w:noWrap w:val="0"/>
            <w:vAlign w:val="top"/>
          </w:tcPr>
          <w:p w14:paraId="51E6BA09">
            <w:pPr>
              <w:rPr>
                <w:rFonts w:hint="eastAsia" w:ascii="宋体" w:hAnsi="宋体" w:eastAsia="宋体" w:cs="宋体"/>
                <w:sz w:val="24"/>
                <w:highlight w:val="none"/>
              </w:rPr>
            </w:pPr>
            <w:r>
              <w:rPr>
                <w:rFonts w:hint="eastAsia" w:ascii="宋体" w:hAnsi="宋体" w:eastAsia="宋体" w:cs="宋体"/>
                <w:sz w:val="24"/>
                <w:highlight w:val="none"/>
              </w:rPr>
              <w:t>#支持云主机深度监控能力，结合深度监控服务提供云主机CPU、内存、磁盘、网络相关资源使用率分析，能够清晰判别资源使用率数值及变化情况，如1天内变化；并支持自动巡检能力，可快速获取巡检时刻资源使用率。提供演示系统链接及管理工具截图证明文件。</w:t>
            </w:r>
          </w:p>
        </w:tc>
      </w:tr>
      <w:tr w14:paraId="3F29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0" w:type="dxa"/>
            <w:vMerge w:val="continue"/>
            <w:shd w:val="clear" w:color="auto" w:fill="auto"/>
            <w:noWrap w:val="0"/>
            <w:vAlign w:val="center"/>
          </w:tcPr>
          <w:p w14:paraId="1F6B7BB0">
            <w:pPr>
              <w:widowControl/>
              <w:rPr>
                <w:rFonts w:hint="eastAsia" w:ascii="宋体" w:hAnsi="宋体" w:eastAsia="宋体" w:cs="宋体"/>
                <w:sz w:val="24"/>
                <w:highlight w:val="none"/>
              </w:rPr>
            </w:pPr>
          </w:p>
        </w:tc>
        <w:tc>
          <w:tcPr>
            <w:tcW w:w="6739" w:type="dxa"/>
            <w:shd w:val="clear" w:color="auto" w:fill="FFFFFF"/>
            <w:noWrap w:val="0"/>
            <w:vAlign w:val="top"/>
          </w:tcPr>
          <w:p w14:paraId="61B27CB8">
            <w:pPr>
              <w:rPr>
                <w:rFonts w:hint="eastAsia" w:ascii="宋体" w:hAnsi="宋体" w:eastAsia="宋体" w:cs="宋体"/>
                <w:sz w:val="24"/>
                <w:highlight w:val="none"/>
              </w:rPr>
            </w:pPr>
            <w:r>
              <w:rPr>
                <w:rFonts w:hint="eastAsia" w:ascii="宋体" w:hAnsi="宋体" w:eastAsia="宋体" w:cs="宋体"/>
                <w:sz w:val="24"/>
                <w:highlight w:val="none"/>
              </w:rPr>
              <w:t>#通过《云计算服务安全要求 第1部分:通用安全要求》检验，达到增强级能力要求。（提供通过相关检验的证明材料复印件，证明材料持有人与投标人必须完全一致。）</w:t>
            </w:r>
          </w:p>
        </w:tc>
      </w:tr>
    </w:tbl>
    <w:p w14:paraId="7DECD2A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 </w:t>
      </w:r>
    </w:p>
    <w:p w14:paraId="07809248">
      <w:pPr>
        <w:pStyle w:val="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2、云存储技术需求</w:t>
      </w:r>
    </w:p>
    <w:tbl>
      <w:tblPr>
        <w:tblStyle w:val="6"/>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6716"/>
      </w:tblGrid>
      <w:tr w14:paraId="045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76" w:type="dxa"/>
            <w:shd w:val="clear" w:color="auto" w:fill="CCCCCC"/>
            <w:noWrap w:val="0"/>
            <w:vAlign w:val="center"/>
          </w:tcPr>
          <w:p w14:paraId="6FF8D6C6">
            <w:pPr>
              <w:jc w:val="center"/>
              <w:rPr>
                <w:rFonts w:hint="eastAsia" w:ascii="宋体" w:hAnsi="宋体" w:eastAsia="宋体" w:cs="宋体"/>
                <w:b/>
                <w:sz w:val="24"/>
                <w:highlight w:val="none"/>
              </w:rPr>
            </w:pPr>
            <w:r>
              <w:rPr>
                <w:rFonts w:hint="eastAsia" w:ascii="宋体" w:hAnsi="宋体" w:eastAsia="宋体" w:cs="宋体"/>
                <w:b/>
                <w:sz w:val="24"/>
                <w:highlight w:val="none"/>
              </w:rPr>
              <w:t>指标项</w:t>
            </w:r>
          </w:p>
        </w:tc>
        <w:tc>
          <w:tcPr>
            <w:tcW w:w="6716" w:type="dxa"/>
            <w:shd w:val="clear" w:color="auto" w:fill="CCCCCC"/>
            <w:noWrap w:val="0"/>
            <w:vAlign w:val="center"/>
          </w:tcPr>
          <w:p w14:paraId="2CF95653">
            <w:pPr>
              <w:jc w:val="center"/>
              <w:rPr>
                <w:rFonts w:hint="eastAsia" w:ascii="宋体" w:hAnsi="宋体" w:eastAsia="宋体" w:cs="宋体"/>
                <w:b/>
                <w:sz w:val="24"/>
                <w:highlight w:val="none"/>
              </w:rPr>
            </w:pPr>
            <w:r>
              <w:rPr>
                <w:rFonts w:hint="eastAsia" w:ascii="宋体" w:hAnsi="宋体" w:eastAsia="宋体" w:cs="宋体"/>
                <w:b/>
                <w:sz w:val="24"/>
                <w:highlight w:val="none"/>
              </w:rPr>
              <w:t>招标要求</w:t>
            </w:r>
          </w:p>
        </w:tc>
      </w:tr>
      <w:tr w14:paraId="4A08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restart"/>
            <w:shd w:val="clear" w:color="auto" w:fill="auto"/>
            <w:noWrap w:val="0"/>
            <w:vAlign w:val="center"/>
          </w:tcPr>
          <w:p w14:paraId="2E4EEA4A">
            <w:pPr>
              <w:jc w:val="center"/>
              <w:rPr>
                <w:rFonts w:hint="eastAsia" w:ascii="宋体" w:hAnsi="宋体" w:eastAsia="宋体" w:cs="宋体"/>
                <w:sz w:val="24"/>
                <w:highlight w:val="none"/>
              </w:rPr>
            </w:pPr>
            <w:r>
              <w:rPr>
                <w:rFonts w:hint="eastAsia" w:ascii="宋体" w:hAnsi="宋体" w:eastAsia="宋体" w:cs="宋体"/>
                <w:sz w:val="24"/>
                <w:highlight w:val="none"/>
              </w:rPr>
              <w:t>基本要求</w:t>
            </w:r>
          </w:p>
        </w:tc>
        <w:tc>
          <w:tcPr>
            <w:tcW w:w="6716" w:type="dxa"/>
            <w:shd w:val="clear" w:color="auto" w:fill="FFFFFF"/>
            <w:noWrap w:val="0"/>
            <w:vAlign w:val="center"/>
          </w:tcPr>
          <w:p w14:paraId="590525A4">
            <w:pPr>
              <w:rPr>
                <w:rFonts w:hint="eastAsia" w:ascii="宋体" w:hAnsi="宋体" w:eastAsia="宋体" w:cs="宋体"/>
                <w:sz w:val="24"/>
                <w:highlight w:val="none"/>
              </w:rPr>
            </w:pPr>
            <w:r>
              <w:rPr>
                <w:rFonts w:hint="eastAsia" w:ascii="宋体" w:hAnsi="宋体" w:eastAsia="宋体" w:cs="宋体"/>
                <w:sz w:val="24"/>
                <w:highlight w:val="none"/>
              </w:rPr>
              <w:t>提供块存储服务：普通性能存储，读写IOPS：1000-3000</w:t>
            </w:r>
          </w:p>
        </w:tc>
      </w:tr>
      <w:tr w14:paraId="514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1AB5E648">
            <w:pPr>
              <w:widowControl/>
              <w:rPr>
                <w:rFonts w:hint="eastAsia" w:ascii="宋体" w:hAnsi="宋体" w:eastAsia="宋体" w:cs="宋体"/>
                <w:sz w:val="24"/>
                <w:highlight w:val="none"/>
              </w:rPr>
            </w:pPr>
          </w:p>
        </w:tc>
        <w:tc>
          <w:tcPr>
            <w:tcW w:w="6716" w:type="dxa"/>
            <w:shd w:val="clear" w:color="auto" w:fill="FFFFFF"/>
            <w:noWrap w:val="0"/>
            <w:vAlign w:val="center"/>
          </w:tcPr>
          <w:p w14:paraId="6E84CCD2">
            <w:pPr>
              <w:rPr>
                <w:rFonts w:hint="eastAsia" w:ascii="宋体" w:hAnsi="宋体" w:eastAsia="宋体" w:cs="宋体"/>
                <w:sz w:val="24"/>
                <w:highlight w:val="none"/>
              </w:rPr>
            </w:pPr>
            <w:r>
              <w:rPr>
                <w:rFonts w:hint="eastAsia" w:ascii="宋体" w:hAnsi="宋体" w:eastAsia="宋体" w:cs="宋体"/>
                <w:sz w:val="24"/>
                <w:highlight w:val="none"/>
              </w:rPr>
              <w:t>提供块存储服务：高性能存储，读写IOPS： 3000-20000</w:t>
            </w:r>
          </w:p>
        </w:tc>
      </w:tr>
      <w:tr w14:paraId="3F04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354345A3">
            <w:pPr>
              <w:widowControl/>
              <w:rPr>
                <w:rFonts w:hint="eastAsia" w:ascii="宋体" w:hAnsi="宋体" w:eastAsia="宋体" w:cs="宋体"/>
                <w:sz w:val="24"/>
                <w:highlight w:val="none"/>
              </w:rPr>
            </w:pPr>
          </w:p>
        </w:tc>
        <w:tc>
          <w:tcPr>
            <w:tcW w:w="6716" w:type="dxa"/>
            <w:shd w:val="clear" w:color="auto" w:fill="FFFFFF"/>
            <w:noWrap w:val="0"/>
            <w:vAlign w:val="center"/>
          </w:tcPr>
          <w:p w14:paraId="2341D45D">
            <w:pPr>
              <w:rPr>
                <w:rFonts w:hint="eastAsia" w:ascii="宋体" w:hAnsi="宋体" w:eastAsia="宋体" w:cs="宋体"/>
                <w:sz w:val="24"/>
                <w:highlight w:val="none"/>
              </w:rPr>
            </w:pPr>
            <w:r>
              <w:rPr>
                <w:rFonts w:hint="eastAsia" w:ascii="宋体" w:hAnsi="宋体" w:eastAsia="宋体" w:cs="宋体"/>
                <w:sz w:val="24"/>
                <w:highlight w:val="none"/>
              </w:rPr>
              <w:t>提供对象存储服务：静态存储，读写IOPS：1000-3000</w:t>
            </w:r>
          </w:p>
        </w:tc>
      </w:tr>
      <w:tr w14:paraId="61B6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086CAD34">
            <w:pPr>
              <w:widowControl/>
              <w:rPr>
                <w:rFonts w:hint="eastAsia" w:ascii="宋体" w:hAnsi="宋体" w:eastAsia="宋体" w:cs="宋体"/>
                <w:sz w:val="24"/>
                <w:highlight w:val="none"/>
              </w:rPr>
            </w:pPr>
          </w:p>
        </w:tc>
        <w:tc>
          <w:tcPr>
            <w:tcW w:w="6716" w:type="dxa"/>
            <w:shd w:val="clear" w:color="auto" w:fill="FFFFFF"/>
            <w:noWrap w:val="0"/>
            <w:vAlign w:val="center"/>
          </w:tcPr>
          <w:p w14:paraId="78758E5D">
            <w:pPr>
              <w:rPr>
                <w:rFonts w:hint="eastAsia" w:ascii="宋体" w:hAnsi="宋体" w:eastAsia="宋体" w:cs="宋体"/>
                <w:sz w:val="24"/>
                <w:highlight w:val="none"/>
              </w:rPr>
            </w:pPr>
            <w:r>
              <w:rPr>
                <w:rFonts w:hint="eastAsia" w:ascii="宋体" w:hAnsi="宋体" w:eastAsia="宋体" w:cs="宋体"/>
                <w:sz w:val="24"/>
                <w:highlight w:val="none"/>
              </w:rPr>
              <w:t>#投标人支持对象存储技术，采用基于服务器本地硬盘提供对象存储资源池，云平台支持通过Web界面对对象存储文件夹进行增删改查（提供所投产品此项要求的系统截图或其他有效证明文件）</w:t>
            </w:r>
          </w:p>
        </w:tc>
      </w:tr>
      <w:tr w14:paraId="6092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3A1D963B">
            <w:pPr>
              <w:widowControl/>
              <w:rPr>
                <w:rFonts w:hint="eastAsia" w:ascii="宋体" w:hAnsi="宋体" w:eastAsia="宋体" w:cs="宋体"/>
                <w:sz w:val="24"/>
                <w:highlight w:val="none"/>
              </w:rPr>
            </w:pPr>
          </w:p>
        </w:tc>
        <w:tc>
          <w:tcPr>
            <w:tcW w:w="6716" w:type="dxa"/>
            <w:shd w:val="clear" w:color="auto" w:fill="FFFFFF"/>
            <w:noWrap w:val="0"/>
            <w:vAlign w:val="center"/>
          </w:tcPr>
          <w:p w14:paraId="479166F6">
            <w:pPr>
              <w:rPr>
                <w:rFonts w:hint="eastAsia" w:ascii="宋体" w:hAnsi="宋体" w:eastAsia="宋体" w:cs="宋体"/>
                <w:sz w:val="24"/>
                <w:highlight w:val="none"/>
              </w:rPr>
            </w:pPr>
            <w:r>
              <w:rPr>
                <w:rFonts w:hint="eastAsia" w:ascii="宋体" w:hAnsi="宋体" w:eastAsia="宋体" w:cs="宋体"/>
                <w:sz w:val="24"/>
                <w:highlight w:val="none"/>
              </w:rPr>
              <w:t>本地数据零丢失，提供备份数据内容</w:t>
            </w:r>
          </w:p>
        </w:tc>
      </w:tr>
      <w:tr w14:paraId="0A1D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0524A2C8">
            <w:pPr>
              <w:widowControl/>
              <w:rPr>
                <w:rFonts w:hint="eastAsia" w:ascii="宋体" w:hAnsi="宋体" w:eastAsia="宋体" w:cs="宋体"/>
                <w:sz w:val="24"/>
                <w:highlight w:val="none"/>
              </w:rPr>
            </w:pPr>
          </w:p>
        </w:tc>
        <w:tc>
          <w:tcPr>
            <w:tcW w:w="6716" w:type="dxa"/>
            <w:shd w:val="clear" w:color="auto" w:fill="FFFFFF"/>
            <w:noWrap w:val="0"/>
            <w:vAlign w:val="center"/>
          </w:tcPr>
          <w:p w14:paraId="0F117040">
            <w:pPr>
              <w:rPr>
                <w:rFonts w:hint="eastAsia" w:ascii="宋体" w:hAnsi="宋体" w:eastAsia="宋体" w:cs="宋体"/>
                <w:sz w:val="24"/>
                <w:highlight w:val="none"/>
              </w:rPr>
            </w:pPr>
            <w:r>
              <w:rPr>
                <w:rFonts w:hint="eastAsia" w:ascii="宋体" w:hAnsi="宋体" w:eastAsia="宋体" w:cs="宋体"/>
                <w:sz w:val="24"/>
                <w:highlight w:val="none"/>
              </w:rPr>
              <w:t>支持NFS，CIFS，SAMBA等协议，可进行跨平台文件共享</w:t>
            </w:r>
          </w:p>
        </w:tc>
      </w:tr>
      <w:tr w14:paraId="680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5DF52895">
            <w:pPr>
              <w:widowControl/>
              <w:rPr>
                <w:rFonts w:hint="eastAsia" w:ascii="宋体" w:hAnsi="宋体" w:eastAsia="宋体" w:cs="宋体"/>
                <w:sz w:val="24"/>
                <w:highlight w:val="none"/>
              </w:rPr>
            </w:pPr>
          </w:p>
        </w:tc>
        <w:tc>
          <w:tcPr>
            <w:tcW w:w="6716" w:type="dxa"/>
            <w:shd w:val="clear" w:color="auto" w:fill="FFFFFF"/>
            <w:noWrap w:val="0"/>
            <w:vAlign w:val="top"/>
          </w:tcPr>
          <w:p w14:paraId="6DF55115">
            <w:pPr>
              <w:rPr>
                <w:rFonts w:hint="eastAsia" w:ascii="宋体" w:hAnsi="宋体" w:eastAsia="宋体" w:cs="宋体"/>
                <w:sz w:val="24"/>
                <w:highlight w:val="none"/>
              </w:rPr>
            </w:pPr>
            <w:r>
              <w:rPr>
                <w:rFonts w:hint="eastAsia" w:ascii="宋体" w:hAnsi="宋体" w:eastAsia="宋体" w:cs="宋体"/>
                <w:sz w:val="24"/>
                <w:highlight w:val="none"/>
              </w:rPr>
              <w:t>支持存储快照，对系统盘、磁盘数据生成备份，快速恢复数据</w:t>
            </w:r>
          </w:p>
        </w:tc>
      </w:tr>
      <w:tr w14:paraId="1CF8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7F47FC29">
            <w:pPr>
              <w:widowControl/>
              <w:rPr>
                <w:rFonts w:hint="eastAsia" w:ascii="宋体" w:hAnsi="宋体" w:eastAsia="宋体" w:cs="宋体"/>
                <w:sz w:val="24"/>
                <w:highlight w:val="none"/>
              </w:rPr>
            </w:pPr>
          </w:p>
        </w:tc>
        <w:tc>
          <w:tcPr>
            <w:tcW w:w="6716" w:type="dxa"/>
            <w:shd w:val="clear" w:color="auto" w:fill="FFFFFF"/>
            <w:noWrap w:val="0"/>
            <w:vAlign w:val="top"/>
          </w:tcPr>
          <w:p w14:paraId="2C7B2FE2">
            <w:pPr>
              <w:rPr>
                <w:rFonts w:hint="eastAsia" w:ascii="宋体" w:hAnsi="宋体" w:eastAsia="宋体" w:cs="宋体"/>
                <w:sz w:val="24"/>
                <w:highlight w:val="none"/>
              </w:rPr>
            </w:pPr>
            <w:r>
              <w:rPr>
                <w:rFonts w:hint="eastAsia" w:ascii="宋体" w:hAnsi="宋体" w:eastAsia="宋体" w:cs="宋体"/>
                <w:sz w:val="24"/>
                <w:highlight w:val="none"/>
              </w:rPr>
              <w:t>支持云磁盘的创建、删除、挂载到一个特定的虚拟机，作为用户的数据盘使用，支持逻辑卷快照及恢复，支持逻辑卷按需扩容</w:t>
            </w:r>
          </w:p>
        </w:tc>
      </w:tr>
      <w:tr w14:paraId="4E97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27854361">
            <w:pPr>
              <w:widowControl/>
              <w:rPr>
                <w:rFonts w:hint="eastAsia" w:ascii="宋体" w:hAnsi="宋体" w:eastAsia="宋体" w:cs="宋体"/>
                <w:sz w:val="24"/>
                <w:highlight w:val="none"/>
              </w:rPr>
            </w:pPr>
          </w:p>
        </w:tc>
        <w:tc>
          <w:tcPr>
            <w:tcW w:w="6716" w:type="dxa"/>
            <w:shd w:val="clear" w:color="auto" w:fill="FFFFFF"/>
            <w:noWrap w:val="0"/>
            <w:vAlign w:val="top"/>
          </w:tcPr>
          <w:p w14:paraId="22F69350">
            <w:pPr>
              <w:rPr>
                <w:rFonts w:hint="eastAsia" w:ascii="宋体" w:hAnsi="宋体" w:eastAsia="宋体" w:cs="宋体"/>
                <w:sz w:val="24"/>
                <w:highlight w:val="none"/>
              </w:rPr>
            </w:pPr>
            <w:r>
              <w:rPr>
                <w:rFonts w:hint="eastAsia" w:ascii="宋体" w:hAnsi="宋体" w:eastAsia="宋体" w:cs="宋体"/>
                <w:sz w:val="24"/>
                <w:highlight w:val="none"/>
              </w:rPr>
              <w:t>#块存储通过《云计算服务客户信任体系能力要求 第5部分:块存储服务》检验（提供相关证明材料复印</w:t>
            </w:r>
            <w:r>
              <w:rPr>
                <w:rFonts w:hint="eastAsia"/>
                <w:highlight w:val="none"/>
              </w:rPr>
              <w:t>件</w:t>
            </w:r>
            <w:r>
              <w:rPr>
                <w:rFonts w:hint="eastAsia" w:ascii="宋体" w:hAnsi="宋体" w:eastAsia="宋体" w:cs="宋体"/>
                <w:sz w:val="24"/>
                <w:highlight w:val="none"/>
              </w:rPr>
              <w:t>，证明材料持有人与投标人必须完全一致。）</w:t>
            </w:r>
          </w:p>
        </w:tc>
      </w:tr>
      <w:tr w14:paraId="7D2C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76" w:type="dxa"/>
            <w:vMerge w:val="continue"/>
            <w:shd w:val="clear" w:color="auto" w:fill="auto"/>
            <w:noWrap w:val="0"/>
            <w:vAlign w:val="center"/>
          </w:tcPr>
          <w:p w14:paraId="499B9CFF">
            <w:pPr>
              <w:widowControl/>
              <w:rPr>
                <w:rFonts w:hint="eastAsia" w:ascii="宋体" w:hAnsi="宋体" w:eastAsia="宋体" w:cs="宋体"/>
                <w:sz w:val="24"/>
                <w:highlight w:val="none"/>
              </w:rPr>
            </w:pPr>
          </w:p>
        </w:tc>
        <w:tc>
          <w:tcPr>
            <w:tcW w:w="6716" w:type="dxa"/>
            <w:shd w:val="clear" w:color="auto" w:fill="FFFFFF"/>
            <w:noWrap w:val="0"/>
            <w:vAlign w:val="top"/>
          </w:tcPr>
          <w:p w14:paraId="1D6BDC8E">
            <w:pPr>
              <w:rPr>
                <w:rFonts w:hint="eastAsia" w:ascii="宋体" w:hAnsi="宋体" w:eastAsia="宋体" w:cs="宋体"/>
                <w:sz w:val="24"/>
                <w:highlight w:val="none"/>
              </w:rPr>
            </w:pPr>
            <w:r>
              <w:rPr>
                <w:rFonts w:hint="eastAsia" w:ascii="宋体" w:hAnsi="宋体" w:eastAsia="宋体" w:cs="宋体"/>
                <w:sz w:val="24"/>
                <w:highlight w:val="none"/>
              </w:rPr>
              <w:t>#对象存储服务通过《云计算服务客户信任体系能为要求 第2部分:对象存储服务》检验（提供相关证明材料复印，证明材料持有人与投标人必须完全一致。）</w:t>
            </w:r>
          </w:p>
        </w:tc>
      </w:tr>
    </w:tbl>
    <w:p w14:paraId="7E5B8E26">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 </w:t>
      </w:r>
    </w:p>
    <w:p w14:paraId="1059AC81">
      <w:pPr>
        <w:pStyle w:val="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3、云平台技术需求</w:t>
      </w:r>
    </w:p>
    <w:tbl>
      <w:tblPr>
        <w:tblStyle w:val="6"/>
        <w:tblW w:w="8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830"/>
      </w:tblGrid>
      <w:tr w14:paraId="3A2E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21" w:type="dxa"/>
            <w:shd w:val="clear" w:color="auto" w:fill="D9D9D9"/>
            <w:noWrap w:val="0"/>
            <w:vAlign w:val="center"/>
          </w:tcPr>
          <w:p w14:paraId="71E91041">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指标项</w:t>
            </w:r>
          </w:p>
        </w:tc>
        <w:tc>
          <w:tcPr>
            <w:tcW w:w="6830" w:type="dxa"/>
            <w:shd w:val="clear" w:color="auto" w:fill="D9D9D9"/>
            <w:noWrap w:val="0"/>
            <w:vAlign w:val="center"/>
          </w:tcPr>
          <w:p w14:paraId="799BE6D9">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招标要求</w:t>
            </w:r>
          </w:p>
        </w:tc>
      </w:tr>
      <w:tr w14:paraId="22EC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restart"/>
            <w:noWrap w:val="0"/>
            <w:vAlign w:val="center"/>
          </w:tcPr>
          <w:p w14:paraId="03BF6DF2">
            <w:pPr>
              <w:rPr>
                <w:rFonts w:hint="eastAsia" w:ascii="宋体" w:hAnsi="宋体" w:eastAsia="宋体" w:cs="宋体"/>
                <w:sz w:val="24"/>
                <w:highlight w:val="none"/>
              </w:rPr>
            </w:pPr>
            <w:r>
              <w:rPr>
                <w:rFonts w:hint="eastAsia" w:ascii="宋体" w:hAnsi="宋体" w:eastAsia="宋体" w:cs="宋体"/>
                <w:sz w:val="24"/>
                <w:highlight w:val="none"/>
              </w:rPr>
              <w:t>基本要求</w:t>
            </w:r>
          </w:p>
        </w:tc>
        <w:tc>
          <w:tcPr>
            <w:tcW w:w="6830" w:type="dxa"/>
            <w:noWrap w:val="0"/>
            <w:vAlign w:val="center"/>
          </w:tcPr>
          <w:p w14:paraId="32B563FF">
            <w:pPr>
              <w:rPr>
                <w:rFonts w:hint="eastAsia" w:ascii="宋体" w:hAnsi="宋体" w:eastAsia="宋体" w:cs="宋体"/>
                <w:sz w:val="24"/>
                <w:highlight w:val="none"/>
              </w:rPr>
            </w:pPr>
            <w:r>
              <w:rPr>
                <w:rFonts w:hint="eastAsia" w:ascii="宋体" w:hAnsi="宋体" w:eastAsia="宋体" w:cs="宋体"/>
                <w:sz w:val="24"/>
                <w:highlight w:val="none"/>
              </w:rPr>
              <w:t>云平台应具备不低于99.99%可用性标准，可支持用户自主配置主机、存储、网络、安全等资源，支持定制化开发</w:t>
            </w:r>
          </w:p>
        </w:tc>
      </w:tr>
      <w:tr w14:paraId="5D48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continue"/>
            <w:noWrap w:val="0"/>
            <w:vAlign w:val="center"/>
          </w:tcPr>
          <w:p w14:paraId="23409E70">
            <w:pPr>
              <w:widowControl/>
              <w:rPr>
                <w:rFonts w:hint="eastAsia" w:ascii="宋体" w:hAnsi="宋体" w:eastAsia="宋体" w:cs="宋体"/>
                <w:sz w:val="24"/>
                <w:highlight w:val="none"/>
              </w:rPr>
            </w:pPr>
          </w:p>
        </w:tc>
        <w:tc>
          <w:tcPr>
            <w:tcW w:w="6830" w:type="dxa"/>
            <w:noWrap w:val="0"/>
            <w:vAlign w:val="center"/>
          </w:tcPr>
          <w:p w14:paraId="05AEE431">
            <w:pPr>
              <w:rPr>
                <w:rFonts w:hint="eastAsia" w:ascii="宋体" w:hAnsi="宋体" w:eastAsia="宋体" w:cs="宋体"/>
                <w:sz w:val="24"/>
                <w:highlight w:val="none"/>
              </w:rPr>
            </w:pPr>
            <w:r>
              <w:rPr>
                <w:rFonts w:hint="eastAsia" w:ascii="宋体" w:hAnsi="宋体" w:eastAsia="宋体" w:cs="宋体"/>
                <w:sz w:val="24"/>
                <w:highlight w:val="none"/>
              </w:rPr>
              <w:t>支持数据中心资源动态调度，可根据业务压力随时调整虚拟机数量，停机时间可控制在秒级</w:t>
            </w:r>
          </w:p>
        </w:tc>
      </w:tr>
      <w:tr w14:paraId="1B1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continue"/>
            <w:noWrap w:val="0"/>
            <w:vAlign w:val="center"/>
          </w:tcPr>
          <w:p w14:paraId="7D951722">
            <w:pPr>
              <w:widowControl/>
              <w:rPr>
                <w:rFonts w:hint="eastAsia" w:ascii="宋体" w:hAnsi="宋体" w:eastAsia="宋体" w:cs="宋体"/>
                <w:sz w:val="24"/>
                <w:highlight w:val="none"/>
              </w:rPr>
            </w:pPr>
          </w:p>
        </w:tc>
        <w:tc>
          <w:tcPr>
            <w:tcW w:w="6830" w:type="dxa"/>
            <w:noWrap w:val="0"/>
            <w:vAlign w:val="center"/>
          </w:tcPr>
          <w:p w14:paraId="41F5A9FE">
            <w:pPr>
              <w:rPr>
                <w:rFonts w:hint="eastAsia" w:ascii="宋体" w:hAnsi="宋体" w:eastAsia="宋体" w:cs="宋体"/>
                <w:sz w:val="24"/>
                <w:highlight w:val="none"/>
              </w:rPr>
            </w:pPr>
            <w:r>
              <w:rPr>
                <w:rFonts w:hint="eastAsia" w:ascii="宋体" w:hAnsi="宋体" w:eastAsia="宋体" w:cs="宋体"/>
                <w:sz w:val="24"/>
                <w:highlight w:val="none"/>
              </w:rPr>
              <w:t>支持对虚拟机CPU、内存、存储、带宽进行实时监控，并支持自定义告警规则</w:t>
            </w:r>
          </w:p>
        </w:tc>
      </w:tr>
      <w:tr w14:paraId="283A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21" w:type="dxa"/>
            <w:vMerge w:val="continue"/>
            <w:noWrap w:val="0"/>
            <w:vAlign w:val="center"/>
          </w:tcPr>
          <w:p w14:paraId="65B62FC7">
            <w:pPr>
              <w:widowControl/>
              <w:rPr>
                <w:rFonts w:hint="eastAsia" w:ascii="宋体" w:hAnsi="宋体" w:eastAsia="宋体" w:cs="宋体"/>
                <w:sz w:val="24"/>
                <w:highlight w:val="none"/>
              </w:rPr>
            </w:pPr>
          </w:p>
        </w:tc>
        <w:tc>
          <w:tcPr>
            <w:tcW w:w="6830" w:type="dxa"/>
            <w:noWrap w:val="0"/>
            <w:vAlign w:val="center"/>
          </w:tcPr>
          <w:p w14:paraId="5D88AE56">
            <w:pPr>
              <w:rPr>
                <w:rFonts w:hint="eastAsia" w:ascii="宋体" w:hAnsi="宋体" w:eastAsia="宋体" w:cs="宋体"/>
                <w:sz w:val="24"/>
                <w:highlight w:val="none"/>
              </w:rPr>
            </w:pPr>
            <w:r>
              <w:rPr>
                <w:rFonts w:hint="eastAsia" w:ascii="宋体" w:hAnsi="宋体" w:eastAsia="宋体" w:cs="宋体"/>
                <w:sz w:val="24"/>
                <w:highlight w:val="none"/>
              </w:rPr>
              <w:t xml:space="preserve">支持用户自定义虚拟主机专用网络或VLAN，并支持7层和4层的软件负载均衡 </w:t>
            </w:r>
          </w:p>
        </w:tc>
      </w:tr>
      <w:tr w14:paraId="7248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21" w:type="dxa"/>
            <w:vMerge w:val="continue"/>
            <w:noWrap w:val="0"/>
            <w:vAlign w:val="center"/>
          </w:tcPr>
          <w:p w14:paraId="625E96E8">
            <w:pPr>
              <w:widowControl/>
              <w:rPr>
                <w:rFonts w:hint="eastAsia" w:ascii="宋体" w:hAnsi="宋体" w:eastAsia="宋体" w:cs="宋体"/>
                <w:sz w:val="24"/>
                <w:highlight w:val="none"/>
              </w:rPr>
            </w:pPr>
          </w:p>
        </w:tc>
        <w:tc>
          <w:tcPr>
            <w:tcW w:w="6830" w:type="dxa"/>
            <w:noWrap w:val="0"/>
            <w:vAlign w:val="center"/>
          </w:tcPr>
          <w:p w14:paraId="5409757D">
            <w:pPr>
              <w:rPr>
                <w:rFonts w:hint="eastAsia" w:ascii="宋体" w:hAnsi="宋体" w:eastAsia="宋体" w:cs="宋体"/>
                <w:sz w:val="24"/>
                <w:highlight w:val="none"/>
              </w:rPr>
            </w:pPr>
            <w:r>
              <w:rPr>
                <w:rFonts w:hint="eastAsia" w:ascii="宋体" w:hAnsi="宋体" w:eastAsia="宋体" w:cs="宋体"/>
                <w:sz w:val="24"/>
                <w:highlight w:val="none"/>
              </w:rPr>
              <w:t>支持虚拟机的跨物理服务器的在线迁移</w:t>
            </w:r>
          </w:p>
        </w:tc>
      </w:tr>
      <w:tr w14:paraId="7289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21" w:type="dxa"/>
            <w:vMerge w:val="continue"/>
            <w:noWrap w:val="0"/>
            <w:vAlign w:val="center"/>
          </w:tcPr>
          <w:p w14:paraId="1E0AFDFC">
            <w:pPr>
              <w:widowControl/>
              <w:rPr>
                <w:rFonts w:hint="eastAsia" w:ascii="宋体" w:hAnsi="宋体" w:eastAsia="宋体" w:cs="宋体"/>
                <w:sz w:val="24"/>
                <w:highlight w:val="none"/>
              </w:rPr>
            </w:pPr>
          </w:p>
        </w:tc>
        <w:tc>
          <w:tcPr>
            <w:tcW w:w="6830" w:type="dxa"/>
            <w:noWrap w:val="0"/>
            <w:vAlign w:val="center"/>
          </w:tcPr>
          <w:p w14:paraId="06BF5E69">
            <w:pPr>
              <w:rPr>
                <w:rFonts w:hint="eastAsia" w:ascii="宋体" w:hAnsi="宋体" w:eastAsia="宋体" w:cs="宋体"/>
                <w:sz w:val="24"/>
                <w:highlight w:val="none"/>
              </w:rPr>
            </w:pPr>
            <w:r>
              <w:rPr>
                <w:rFonts w:hint="eastAsia" w:ascii="宋体" w:hAnsi="宋体" w:eastAsia="宋体" w:cs="宋体"/>
                <w:sz w:val="24"/>
                <w:highlight w:val="none"/>
              </w:rPr>
              <w:t>支持用户自主进行虚拟资源的新建、添加、删除、启动、停止、资源释放和回收</w:t>
            </w:r>
          </w:p>
        </w:tc>
      </w:tr>
      <w:tr w14:paraId="1532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1" w:type="dxa"/>
            <w:vMerge w:val="continue"/>
            <w:noWrap w:val="0"/>
            <w:vAlign w:val="center"/>
          </w:tcPr>
          <w:p w14:paraId="399738D8">
            <w:pPr>
              <w:widowControl/>
              <w:rPr>
                <w:rFonts w:hint="eastAsia" w:ascii="宋体" w:hAnsi="宋体" w:eastAsia="宋体" w:cs="宋体"/>
                <w:sz w:val="24"/>
                <w:highlight w:val="none"/>
              </w:rPr>
            </w:pPr>
          </w:p>
        </w:tc>
        <w:tc>
          <w:tcPr>
            <w:tcW w:w="6830" w:type="dxa"/>
            <w:noWrap w:val="0"/>
            <w:vAlign w:val="top"/>
          </w:tcPr>
          <w:p w14:paraId="0B413945">
            <w:pPr>
              <w:rPr>
                <w:rFonts w:hint="eastAsia" w:ascii="宋体" w:hAnsi="宋体" w:eastAsia="宋体" w:cs="宋体"/>
                <w:sz w:val="24"/>
                <w:highlight w:val="none"/>
              </w:rPr>
            </w:pPr>
            <w:r>
              <w:rPr>
                <w:rFonts w:hint="eastAsia" w:ascii="宋体" w:hAnsi="宋体" w:eastAsia="宋体" w:cs="宋体"/>
                <w:sz w:val="24"/>
                <w:highlight w:val="none"/>
              </w:rPr>
              <w:t>支持多种虚拟机调度模式，松散调度、紧凑调度、高可用调度等调度策略。其中高可用调度策略开放给云的租户</w:t>
            </w:r>
          </w:p>
        </w:tc>
      </w:tr>
      <w:tr w14:paraId="771A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 w:type="dxa"/>
            <w:vMerge w:val="continue"/>
            <w:noWrap w:val="0"/>
            <w:vAlign w:val="center"/>
          </w:tcPr>
          <w:p w14:paraId="3655B933">
            <w:pPr>
              <w:widowControl/>
              <w:rPr>
                <w:rFonts w:hint="eastAsia" w:ascii="宋体" w:hAnsi="宋体" w:eastAsia="宋体" w:cs="宋体"/>
                <w:sz w:val="24"/>
                <w:highlight w:val="none"/>
              </w:rPr>
            </w:pPr>
          </w:p>
        </w:tc>
        <w:tc>
          <w:tcPr>
            <w:tcW w:w="6830" w:type="dxa"/>
            <w:noWrap w:val="0"/>
            <w:vAlign w:val="top"/>
          </w:tcPr>
          <w:p w14:paraId="5253C004">
            <w:pPr>
              <w:rPr>
                <w:rFonts w:hint="eastAsia" w:ascii="宋体" w:hAnsi="宋体" w:eastAsia="宋体" w:cs="宋体"/>
                <w:sz w:val="24"/>
                <w:highlight w:val="none"/>
              </w:rPr>
            </w:pPr>
            <w:r>
              <w:rPr>
                <w:rFonts w:hint="eastAsia" w:ascii="宋体" w:hAnsi="宋体" w:eastAsia="宋体" w:cs="宋体"/>
                <w:sz w:val="24"/>
                <w:highlight w:val="none"/>
              </w:rPr>
              <w:t>支持云平台租户自行指定云主机的网卡IP</w:t>
            </w:r>
          </w:p>
        </w:tc>
      </w:tr>
      <w:tr w14:paraId="3D2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1" w:type="dxa"/>
            <w:vMerge w:val="continue"/>
            <w:noWrap w:val="0"/>
            <w:vAlign w:val="center"/>
          </w:tcPr>
          <w:p w14:paraId="25D0DB1E">
            <w:pPr>
              <w:widowControl/>
              <w:rPr>
                <w:rFonts w:hint="eastAsia" w:ascii="宋体" w:hAnsi="宋体" w:eastAsia="宋体" w:cs="宋体"/>
                <w:sz w:val="24"/>
                <w:highlight w:val="none"/>
              </w:rPr>
            </w:pPr>
          </w:p>
        </w:tc>
        <w:tc>
          <w:tcPr>
            <w:tcW w:w="6830" w:type="dxa"/>
            <w:noWrap w:val="0"/>
            <w:vAlign w:val="top"/>
          </w:tcPr>
          <w:p w14:paraId="3F36941F">
            <w:pPr>
              <w:rPr>
                <w:rFonts w:hint="eastAsia" w:ascii="宋体" w:hAnsi="宋体" w:eastAsia="宋体" w:cs="宋体"/>
                <w:sz w:val="24"/>
                <w:highlight w:val="none"/>
              </w:rPr>
            </w:pPr>
            <w:r>
              <w:rPr>
                <w:rFonts w:hint="eastAsia" w:ascii="宋体" w:hAnsi="宋体" w:eastAsia="宋体" w:cs="宋体"/>
                <w:sz w:val="24"/>
                <w:highlight w:val="none"/>
              </w:rPr>
              <w:t>#通过中国信息通信研究院云服务IPv6支持能力检测。（提供通过相关检验的证明材料复印件，证明材料持有人与投标人必须完全一致。）</w:t>
            </w:r>
          </w:p>
        </w:tc>
      </w:tr>
      <w:tr w14:paraId="025D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21" w:type="dxa"/>
            <w:vMerge w:val="continue"/>
            <w:noWrap w:val="0"/>
            <w:vAlign w:val="center"/>
          </w:tcPr>
          <w:p w14:paraId="668C6B06">
            <w:pPr>
              <w:widowControl/>
              <w:rPr>
                <w:rFonts w:hint="eastAsia" w:ascii="宋体" w:hAnsi="宋体" w:eastAsia="宋体" w:cs="宋体"/>
                <w:sz w:val="24"/>
                <w:highlight w:val="none"/>
              </w:rPr>
            </w:pPr>
          </w:p>
        </w:tc>
        <w:tc>
          <w:tcPr>
            <w:tcW w:w="6830" w:type="dxa"/>
            <w:noWrap w:val="0"/>
            <w:vAlign w:val="top"/>
          </w:tcPr>
          <w:p w14:paraId="7252849B">
            <w:pPr>
              <w:rPr>
                <w:rFonts w:hint="eastAsia" w:ascii="宋体" w:hAnsi="宋体" w:eastAsia="宋体" w:cs="宋体"/>
                <w:sz w:val="24"/>
                <w:highlight w:val="none"/>
              </w:rPr>
            </w:pPr>
            <w:r>
              <w:rPr>
                <w:rFonts w:hint="eastAsia" w:ascii="宋体" w:hAnsi="宋体" w:eastAsia="宋体" w:cs="宋体"/>
                <w:sz w:val="24"/>
                <w:highlight w:val="none"/>
              </w:rPr>
              <w:t>#通过《云平台网络能力评估方法 第4部分：云组网》检验。（提供通过相关检验的证明材料复印件，证明材料持有人与投标人必须完全一致。）</w:t>
            </w:r>
          </w:p>
        </w:tc>
      </w:tr>
    </w:tbl>
    <w:p w14:paraId="134E7882">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 xml:space="preserve"> </w:t>
      </w:r>
    </w:p>
    <w:p w14:paraId="1BB41A34">
      <w:pPr>
        <w:pStyle w:val="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4、备份服务技术需求</w:t>
      </w:r>
    </w:p>
    <w:tbl>
      <w:tblPr>
        <w:tblStyle w:val="6"/>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6956"/>
      </w:tblGrid>
      <w:tr w14:paraId="0BFD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5" w:type="dxa"/>
            <w:shd w:val="clear" w:color="auto" w:fill="D9D9D9"/>
            <w:noWrap w:val="0"/>
            <w:vAlign w:val="center"/>
          </w:tcPr>
          <w:p w14:paraId="7B0E15B9">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指标项</w:t>
            </w:r>
          </w:p>
        </w:tc>
        <w:tc>
          <w:tcPr>
            <w:tcW w:w="6956" w:type="dxa"/>
            <w:shd w:val="clear" w:color="auto" w:fill="D9D9D9"/>
            <w:noWrap w:val="0"/>
            <w:vAlign w:val="center"/>
          </w:tcPr>
          <w:p w14:paraId="3DE6D72C">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招标要求</w:t>
            </w:r>
          </w:p>
        </w:tc>
      </w:tr>
      <w:tr w14:paraId="54BB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restart"/>
            <w:shd w:val="clear" w:color="auto" w:fill="FFFFFF"/>
            <w:noWrap w:val="0"/>
            <w:vAlign w:val="center"/>
          </w:tcPr>
          <w:p w14:paraId="77AFC322">
            <w:pPr>
              <w:rPr>
                <w:rFonts w:hint="eastAsia" w:ascii="宋体" w:hAnsi="宋体" w:eastAsia="宋体" w:cs="宋体"/>
                <w:sz w:val="24"/>
                <w:highlight w:val="none"/>
              </w:rPr>
            </w:pPr>
            <w:r>
              <w:rPr>
                <w:rFonts w:hint="eastAsia" w:ascii="宋体" w:hAnsi="宋体" w:eastAsia="宋体" w:cs="宋体"/>
                <w:sz w:val="24"/>
                <w:highlight w:val="none"/>
              </w:rPr>
              <w:t>基本要求</w:t>
            </w:r>
          </w:p>
        </w:tc>
        <w:tc>
          <w:tcPr>
            <w:tcW w:w="6956" w:type="dxa"/>
            <w:shd w:val="clear" w:color="auto" w:fill="FFFFFF"/>
            <w:noWrap w:val="0"/>
            <w:vAlign w:val="center"/>
          </w:tcPr>
          <w:p w14:paraId="2C3A16E8">
            <w:pPr>
              <w:rPr>
                <w:rFonts w:hint="eastAsia" w:ascii="宋体" w:hAnsi="宋体" w:eastAsia="宋体" w:cs="宋体"/>
                <w:sz w:val="24"/>
                <w:highlight w:val="none"/>
              </w:rPr>
            </w:pPr>
            <w:r>
              <w:rPr>
                <w:rFonts w:hint="eastAsia" w:ascii="宋体" w:hAnsi="宋体" w:eastAsia="宋体" w:cs="宋体"/>
                <w:sz w:val="24"/>
                <w:highlight w:val="none"/>
              </w:rPr>
              <w:t>采用B/S架构；支持生产端主流操作系统LINUX/Windows 平台；支持多种数据库类型包括Oracle、MS SQL Server、Mysql等，并且支持这些数据库的所有版本；</w:t>
            </w:r>
          </w:p>
        </w:tc>
      </w:tr>
      <w:tr w14:paraId="466E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5" w:type="dxa"/>
            <w:vMerge w:val="continue"/>
            <w:noWrap w:val="0"/>
            <w:vAlign w:val="center"/>
          </w:tcPr>
          <w:p w14:paraId="2C665418">
            <w:pPr>
              <w:widowControl/>
              <w:rPr>
                <w:rFonts w:hint="eastAsia" w:ascii="宋体" w:hAnsi="宋体" w:eastAsia="宋体" w:cs="宋体"/>
                <w:sz w:val="24"/>
                <w:highlight w:val="none"/>
              </w:rPr>
            </w:pPr>
          </w:p>
        </w:tc>
        <w:tc>
          <w:tcPr>
            <w:tcW w:w="6956" w:type="dxa"/>
            <w:noWrap w:val="0"/>
            <w:vAlign w:val="center"/>
          </w:tcPr>
          <w:p w14:paraId="4EA0A9A4">
            <w:pPr>
              <w:rPr>
                <w:rFonts w:hint="eastAsia" w:ascii="宋体" w:hAnsi="宋体" w:eastAsia="宋体" w:cs="宋体"/>
                <w:sz w:val="24"/>
                <w:highlight w:val="none"/>
              </w:rPr>
            </w:pPr>
            <w:r>
              <w:rPr>
                <w:rFonts w:hint="eastAsia" w:ascii="宋体" w:hAnsi="宋体" w:eastAsia="宋体" w:cs="宋体"/>
                <w:sz w:val="24"/>
                <w:highlight w:val="none"/>
              </w:rPr>
              <w:t>基于服务器操作系统层，旁路监测被保护数据每次磁盘I/O的变化。实时监测每一笔磁盘写I/O操作，并以事件日志的方式记录。恢复时基于事件日志可以做任意时刻数据恢复；</w:t>
            </w:r>
          </w:p>
        </w:tc>
      </w:tr>
      <w:tr w14:paraId="0B5C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5" w:type="dxa"/>
            <w:vMerge w:val="continue"/>
            <w:noWrap w:val="0"/>
            <w:vAlign w:val="center"/>
          </w:tcPr>
          <w:p w14:paraId="3ED8506A">
            <w:pPr>
              <w:widowControl/>
              <w:rPr>
                <w:rFonts w:hint="eastAsia" w:ascii="宋体" w:hAnsi="宋体" w:eastAsia="宋体" w:cs="宋体"/>
                <w:sz w:val="24"/>
                <w:highlight w:val="none"/>
              </w:rPr>
            </w:pPr>
          </w:p>
        </w:tc>
        <w:tc>
          <w:tcPr>
            <w:tcW w:w="6956" w:type="dxa"/>
            <w:noWrap w:val="0"/>
            <w:vAlign w:val="center"/>
          </w:tcPr>
          <w:p w14:paraId="181F8D4E">
            <w:pPr>
              <w:rPr>
                <w:rFonts w:hint="eastAsia" w:ascii="宋体" w:hAnsi="宋体" w:eastAsia="宋体" w:cs="宋体"/>
                <w:sz w:val="24"/>
                <w:highlight w:val="none"/>
              </w:rPr>
            </w:pPr>
            <w:r>
              <w:rPr>
                <w:rFonts w:hint="eastAsia" w:ascii="宋体" w:hAnsi="宋体" w:eastAsia="宋体" w:cs="宋体"/>
                <w:sz w:val="24"/>
                <w:highlight w:val="none"/>
              </w:rPr>
              <w:t>生产端到灾备端数据传输时要基于字节级实时数据传输而非存储块级；</w:t>
            </w:r>
          </w:p>
        </w:tc>
      </w:tr>
      <w:tr w14:paraId="695B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75" w:type="dxa"/>
            <w:vMerge w:val="continue"/>
            <w:noWrap w:val="0"/>
            <w:vAlign w:val="center"/>
          </w:tcPr>
          <w:p w14:paraId="1F831F6A">
            <w:pPr>
              <w:widowControl/>
              <w:rPr>
                <w:rFonts w:hint="eastAsia" w:ascii="宋体" w:hAnsi="宋体" w:eastAsia="宋体" w:cs="宋体"/>
                <w:sz w:val="24"/>
                <w:highlight w:val="none"/>
              </w:rPr>
            </w:pPr>
          </w:p>
        </w:tc>
        <w:tc>
          <w:tcPr>
            <w:tcW w:w="6956" w:type="dxa"/>
            <w:noWrap w:val="0"/>
            <w:vAlign w:val="center"/>
          </w:tcPr>
          <w:p w14:paraId="6C8399C0">
            <w:pPr>
              <w:rPr>
                <w:rFonts w:hint="eastAsia" w:ascii="宋体" w:hAnsi="宋体" w:eastAsia="宋体" w:cs="宋体"/>
                <w:sz w:val="24"/>
                <w:highlight w:val="none"/>
              </w:rPr>
            </w:pPr>
            <w:r>
              <w:rPr>
                <w:rFonts w:hint="eastAsia" w:ascii="宋体" w:hAnsi="宋体" w:eastAsia="宋体" w:cs="宋体"/>
                <w:sz w:val="24"/>
                <w:highlight w:val="none"/>
              </w:rPr>
              <w:t>支持实时、定时两种备份方式；支持一对一、一对多、多对一、级联等部署方式，且在多对一复制时备份端只需配置一套备份端软件；</w:t>
            </w:r>
          </w:p>
        </w:tc>
      </w:tr>
      <w:tr w14:paraId="7DCB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vMerge w:val="continue"/>
            <w:noWrap w:val="0"/>
            <w:vAlign w:val="center"/>
          </w:tcPr>
          <w:p w14:paraId="0DBAE4D2">
            <w:pPr>
              <w:widowControl/>
              <w:rPr>
                <w:rFonts w:hint="eastAsia" w:ascii="宋体" w:hAnsi="宋体" w:eastAsia="宋体" w:cs="宋体"/>
                <w:sz w:val="24"/>
                <w:highlight w:val="none"/>
              </w:rPr>
            </w:pPr>
          </w:p>
        </w:tc>
        <w:tc>
          <w:tcPr>
            <w:tcW w:w="6956" w:type="dxa"/>
            <w:noWrap w:val="0"/>
            <w:vAlign w:val="center"/>
          </w:tcPr>
          <w:p w14:paraId="19F1D638">
            <w:pPr>
              <w:rPr>
                <w:rFonts w:hint="eastAsia" w:ascii="宋体" w:hAnsi="宋体" w:eastAsia="宋体" w:cs="宋体"/>
                <w:sz w:val="24"/>
                <w:highlight w:val="none"/>
              </w:rPr>
            </w:pPr>
            <w:r>
              <w:rPr>
                <w:rFonts w:hint="eastAsia" w:ascii="宋体" w:hAnsi="宋体" w:eastAsia="宋体" w:cs="宋体"/>
                <w:sz w:val="24"/>
                <w:highlight w:val="none"/>
              </w:rPr>
              <w:t>服务器主机层做应用/数据库高可用，不依赖于某个具体的硬件平台；</w:t>
            </w:r>
          </w:p>
        </w:tc>
      </w:tr>
      <w:tr w14:paraId="051D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5" w:type="dxa"/>
            <w:vMerge w:val="continue"/>
            <w:noWrap w:val="0"/>
            <w:vAlign w:val="center"/>
          </w:tcPr>
          <w:p w14:paraId="45566A63">
            <w:pPr>
              <w:widowControl/>
              <w:rPr>
                <w:rFonts w:hint="eastAsia" w:ascii="宋体" w:hAnsi="宋体" w:eastAsia="宋体" w:cs="宋体"/>
                <w:sz w:val="24"/>
                <w:highlight w:val="none"/>
              </w:rPr>
            </w:pPr>
          </w:p>
        </w:tc>
        <w:tc>
          <w:tcPr>
            <w:tcW w:w="6956" w:type="dxa"/>
            <w:noWrap w:val="0"/>
            <w:vAlign w:val="center"/>
          </w:tcPr>
          <w:p w14:paraId="03ECAE90">
            <w:pPr>
              <w:rPr>
                <w:rFonts w:hint="eastAsia" w:ascii="宋体" w:hAnsi="宋体" w:eastAsia="宋体" w:cs="宋体"/>
                <w:sz w:val="24"/>
                <w:highlight w:val="none"/>
              </w:rPr>
            </w:pPr>
            <w:r>
              <w:rPr>
                <w:rFonts w:hint="eastAsia" w:ascii="宋体" w:hAnsi="宋体" w:eastAsia="宋体" w:cs="宋体"/>
                <w:sz w:val="24"/>
                <w:highlight w:val="none"/>
              </w:rPr>
              <w:t>支持主机/备机之间实时数据同步，基于主机被保护数据每一笔磁盘I/O操作，以字节的方式高效的传输到备机进行数据同步；</w:t>
            </w:r>
          </w:p>
        </w:tc>
      </w:tr>
      <w:tr w14:paraId="39DD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5" w:type="dxa"/>
            <w:vMerge w:val="continue"/>
            <w:noWrap w:val="0"/>
            <w:vAlign w:val="center"/>
          </w:tcPr>
          <w:p w14:paraId="6A9A8B64">
            <w:pPr>
              <w:widowControl/>
              <w:rPr>
                <w:rFonts w:hint="eastAsia" w:ascii="宋体" w:hAnsi="宋体" w:eastAsia="宋体" w:cs="宋体"/>
                <w:sz w:val="24"/>
                <w:highlight w:val="none"/>
              </w:rPr>
            </w:pPr>
          </w:p>
        </w:tc>
        <w:tc>
          <w:tcPr>
            <w:tcW w:w="6956" w:type="dxa"/>
            <w:noWrap w:val="0"/>
            <w:vAlign w:val="center"/>
          </w:tcPr>
          <w:p w14:paraId="410E0BDA">
            <w:pPr>
              <w:rPr>
                <w:rFonts w:hint="eastAsia" w:ascii="宋体" w:hAnsi="宋体" w:eastAsia="宋体" w:cs="宋体"/>
                <w:sz w:val="24"/>
                <w:highlight w:val="none"/>
              </w:rPr>
            </w:pPr>
            <w:r>
              <w:rPr>
                <w:rFonts w:hint="eastAsia" w:ascii="宋体" w:hAnsi="宋体" w:eastAsia="宋体" w:cs="宋体"/>
                <w:sz w:val="24"/>
                <w:highlight w:val="none"/>
              </w:rPr>
              <w:t>支持缓存和断点续传机制。当备份端硬件故障或网络传输异常中断时，自动缓存生产端数据库的新增数据，系统或网络故障恢复后自动实现断点续传；</w:t>
            </w:r>
          </w:p>
        </w:tc>
      </w:tr>
      <w:tr w14:paraId="6D97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75" w:type="dxa"/>
            <w:vMerge w:val="continue"/>
            <w:noWrap w:val="0"/>
            <w:vAlign w:val="center"/>
          </w:tcPr>
          <w:p w14:paraId="3CE4C969">
            <w:pPr>
              <w:widowControl/>
              <w:rPr>
                <w:rFonts w:hint="eastAsia" w:ascii="宋体" w:hAnsi="宋体" w:eastAsia="宋体" w:cs="宋体"/>
                <w:sz w:val="24"/>
                <w:highlight w:val="none"/>
              </w:rPr>
            </w:pPr>
          </w:p>
        </w:tc>
        <w:tc>
          <w:tcPr>
            <w:tcW w:w="6956" w:type="dxa"/>
            <w:noWrap w:val="0"/>
            <w:vAlign w:val="center"/>
          </w:tcPr>
          <w:p w14:paraId="42B60F47">
            <w:pPr>
              <w:rPr>
                <w:rFonts w:hint="eastAsia" w:ascii="宋体" w:hAnsi="宋体" w:eastAsia="宋体" w:cs="宋体"/>
                <w:sz w:val="24"/>
                <w:highlight w:val="none"/>
              </w:rPr>
            </w:pPr>
            <w:r>
              <w:rPr>
                <w:rFonts w:hint="eastAsia" w:ascii="宋体" w:hAnsi="宋体" w:eastAsia="宋体" w:cs="宋体"/>
                <w:sz w:val="24"/>
                <w:highlight w:val="none"/>
              </w:rPr>
              <w:t>图形化管理方式，无需命令行操作；</w:t>
            </w:r>
          </w:p>
        </w:tc>
      </w:tr>
    </w:tbl>
    <w:p w14:paraId="2228B592">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03312BC">
      <w:pPr>
        <w:pStyle w:val="2"/>
        <w:ind w:firstLine="241"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5、其他技术需求</w:t>
      </w:r>
    </w:p>
    <w:tbl>
      <w:tblPr>
        <w:tblStyle w:val="6"/>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096"/>
      </w:tblGrid>
      <w:tr w14:paraId="4BDE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75" w:type="dxa"/>
            <w:shd w:val="clear" w:color="auto" w:fill="D9D9D9"/>
            <w:noWrap w:val="0"/>
            <w:vAlign w:val="center"/>
          </w:tcPr>
          <w:p w14:paraId="7832813D">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指标项</w:t>
            </w:r>
          </w:p>
        </w:tc>
        <w:tc>
          <w:tcPr>
            <w:tcW w:w="7096" w:type="dxa"/>
            <w:shd w:val="clear" w:color="auto" w:fill="D9D9D9"/>
            <w:noWrap w:val="0"/>
            <w:vAlign w:val="center"/>
          </w:tcPr>
          <w:p w14:paraId="4A76FEBC">
            <w:pPr>
              <w:widowControl/>
              <w:jc w:val="center"/>
              <w:rPr>
                <w:rFonts w:hint="eastAsia" w:ascii="宋体" w:hAnsi="宋体" w:eastAsia="宋体" w:cs="宋体"/>
                <w:b/>
                <w:bCs/>
                <w:sz w:val="24"/>
                <w:highlight w:val="none"/>
              </w:rPr>
            </w:pPr>
            <w:r>
              <w:rPr>
                <w:rFonts w:hint="eastAsia" w:ascii="宋体" w:hAnsi="宋体" w:eastAsia="宋体" w:cs="宋体"/>
                <w:b/>
                <w:bCs/>
                <w:sz w:val="24"/>
                <w:highlight w:val="none"/>
              </w:rPr>
              <w:t>招标要求</w:t>
            </w:r>
          </w:p>
        </w:tc>
      </w:tr>
      <w:tr w14:paraId="261C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shd w:val="clear" w:color="auto" w:fill="FFFFFF"/>
            <w:noWrap w:val="0"/>
            <w:vAlign w:val="center"/>
          </w:tcPr>
          <w:p w14:paraId="5EEAADC4">
            <w:pPr>
              <w:rPr>
                <w:rFonts w:hint="eastAsia" w:ascii="宋体" w:hAnsi="宋体" w:eastAsia="宋体" w:cs="宋体"/>
                <w:sz w:val="24"/>
                <w:highlight w:val="none"/>
              </w:rPr>
            </w:pPr>
            <w:r>
              <w:rPr>
                <w:rFonts w:hint="eastAsia" w:ascii="宋体" w:hAnsi="宋体" w:eastAsia="宋体" w:cs="宋体"/>
                <w:sz w:val="24"/>
                <w:highlight w:val="none"/>
              </w:rPr>
              <w:t>政务云技术架构要求</w:t>
            </w:r>
          </w:p>
        </w:tc>
        <w:tc>
          <w:tcPr>
            <w:tcW w:w="7096" w:type="dxa"/>
            <w:shd w:val="clear" w:color="auto" w:fill="FFFFFF"/>
            <w:noWrap w:val="0"/>
            <w:vAlign w:val="center"/>
          </w:tcPr>
          <w:p w14:paraId="319E8B89">
            <w:pPr>
              <w:rPr>
                <w:rFonts w:hint="eastAsia" w:ascii="宋体" w:hAnsi="宋体" w:eastAsia="宋体" w:cs="宋体"/>
                <w:sz w:val="24"/>
                <w:highlight w:val="none"/>
              </w:rPr>
            </w:pPr>
            <w:r>
              <w:rPr>
                <w:rFonts w:hint="eastAsia" w:ascii="宋体" w:hAnsi="宋体" w:eastAsia="宋体" w:cs="宋体"/>
                <w:sz w:val="24"/>
                <w:highlight w:val="none"/>
              </w:rPr>
              <w:t>投标人所使用云平台需采用基于OpenStack主流版本且经过厂商深度定制的云平台软件，资源虚拟化通过KVM技术实现。(提供所投产品此项要求的系统截图或其他有效证明文件)</w:t>
            </w:r>
          </w:p>
        </w:tc>
      </w:tr>
      <w:tr w14:paraId="4C4C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shd w:val="clear" w:color="auto" w:fill="FFFFFF"/>
            <w:noWrap w:val="0"/>
            <w:vAlign w:val="center"/>
          </w:tcPr>
          <w:p w14:paraId="1D8835B5">
            <w:pPr>
              <w:rPr>
                <w:rFonts w:hint="eastAsia" w:ascii="宋体" w:hAnsi="宋体" w:eastAsia="宋体" w:cs="宋体"/>
                <w:sz w:val="24"/>
                <w:highlight w:val="none"/>
              </w:rPr>
            </w:pPr>
            <w:r>
              <w:rPr>
                <w:rFonts w:hint="eastAsia" w:ascii="宋体" w:hAnsi="宋体" w:eastAsia="宋体" w:cs="宋体"/>
                <w:sz w:val="24"/>
                <w:highlight w:val="none"/>
              </w:rPr>
              <w:t>政务云存储技术要求</w:t>
            </w:r>
          </w:p>
        </w:tc>
        <w:tc>
          <w:tcPr>
            <w:tcW w:w="7096" w:type="dxa"/>
            <w:shd w:val="clear" w:color="auto" w:fill="FFFFFF"/>
            <w:noWrap w:val="0"/>
            <w:vAlign w:val="center"/>
          </w:tcPr>
          <w:p w14:paraId="5F8E9111">
            <w:pPr>
              <w:rPr>
                <w:rFonts w:hint="eastAsia" w:ascii="宋体" w:hAnsi="宋体" w:eastAsia="宋体" w:cs="宋体"/>
                <w:sz w:val="24"/>
                <w:highlight w:val="none"/>
              </w:rPr>
            </w:pPr>
            <w:r>
              <w:rPr>
                <w:rFonts w:hint="eastAsia" w:ascii="宋体" w:hAnsi="宋体" w:eastAsia="宋体" w:cs="宋体"/>
                <w:sz w:val="24"/>
                <w:highlight w:val="none"/>
              </w:rPr>
              <w:t>投标人所使用云平台支持基于通用X86服务器本地硬盘的计算存储融合架构部署分布式存储资源池，底层支持三副本数据冗余（提供所投产品此项要求的系统截图、三方证明或其他有效证明文件，并加盖投标人公章。）</w:t>
            </w:r>
          </w:p>
        </w:tc>
      </w:tr>
      <w:tr w14:paraId="6B1F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restart"/>
            <w:shd w:val="clear" w:color="auto" w:fill="FFFFFF"/>
            <w:noWrap w:val="0"/>
            <w:vAlign w:val="center"/>
          </w:tcPr>
          <w:p w14:paraId="023BBD56">
            <w:pPr>
              <w:rPr>
                <w:rFonts w:hint="eastAsia" w:ascii="宋体" w:hAnsi="宋体" w:eastAsia="宋体" w:cs="宋体"/>
                <w:sz w:val="24"/>
                <w:highlight w:val="none"/>
              </w:rPr>
            </w:pPr>
            <w:r>
              <w:rPr>
                <w:rFonts w:hint="eastAsia" w:ascii="宋体" w:hAnsi="宋体" w:eastAsia="宋体" w:cs="宋体"/>
                <w:sz w:val="24"/>
                <w:highlight w:val="none"/>
              </w:rPr>
              <w:t>政务云资源及服务管理要求</w:t>
            </w:r>
          </w:p>
        </w:tc>
        <w:tc>
          <w:tcPr>
            <w:tcW w:w="7096" w:type="dxa"/>
            <w:shd w:val="clear" w:color="auto" w:fill="FFFFFF"/>
            <w:noWrap w:val="0"/>
            <w:vAlign w:val="center"/>
          </w:tcPr>
          <w:p w14:paraId="0439D2D3">
            <w:pPr>
              <w:rPr>
                <w:rFonts w:hint="eastAsia" w:ascii="宋体" w:hAnsi="宋体" w:eastAsia="宋体" w:cs="宋体"/>
                <w:sz w:val="24"/>
                <w:highlight w:val="none"/>
              </w:rPr>
            </w:pPr>
            <w:r>
              <w:rPr>
                <w:rFonts w:hint="eastAsia" w:ascii="宋体" w:hAnsi="宋体" w:eastAsia="宋体" w:cs="宋体"/>
                <w:sz w:val="24"/>
                <w:highlight w:val="none"/>
              </w:rPr>
              <w:t>#云服务商提供采购人可自服务的云资源可视化管理能力，实现：云主机数量、vCPU数、内存数、磁盘数统计，云资源分配量趋势分析，云资源分布分析（互联网及政务外网分布情况、操作系统类型分布情况、云主机状态分布等），提供演示系统链接及管理工具截图证明文件，并加盖投标人公章。</w:t>
            </w:r>
          </w:p>
        </w:tc>
      </w:tr>
      <w:tr w14:paraId="3644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continue"/>
            <w:shd w:val="clear" w:color="auto" w:fill="FFFFFF"/>
            <w:noWrap w:val="0"/>
            <w:vAlign w:val="center"/>
          </w:tcPr>
          <w:p w14:paraId="0B0465A1">
            <w:pPr>
              <w:rPr>
                <w:rFonts w:hint="eastAsia" w:ascii="宋体" w:hAnsi="宋体" w:eastAsia="宋体" w:cs="宋体"/>
                <w:sz w:val="24"/>
                <w:highlight w:val="none"/>
              </w:rPr>
            </w:pPr>
          </w:p>
        </w:tc>
        <w:tc>
          <w:tcPr>
            <w:tcW w:w="7096" w:type="dxa"/>
            <w:shd w:val="clear" w:color="auto" w:fill="FFFFFF"/>
            <w:noWrap w:val="0"/>
            <w:vAlign w:val="center"/>
          </w:tcPr>
          <w:p w14:paraId="4CE7944D">
            <w:pPr>
              <w:rPr>
                <w:rFonts w:hint="eastAsia" w:ascii="宋体" w:hAnsi="宋体" w:eastAsia="宋体" w:cs="宋体"/>
                <w:sz w:val="24"/>
                <w:highlight w:val="none"/>
              </w:rPr>
            </w:pPr>
            <w:r>
              <w:rPr>
                <w:rFonts w:hint="eastAsia" w:ascii="宋体" w:hAnsi="宋体" w:eastAsia="宋体" w:cs="宋体"/>
                <w:sz w:val="24"/>
                <w:highlight w:val="none"/>
              </w:rPr>
              <w:t>#云服务商提供采购人可自服务的云资源可视化管理能力，支持按资源分布进行业务资源用量分析并支持排序；支持按云主机数量进行业务系统分析并支持排序；提供演示系统链接及管理工具截图证明文件，并加盖投标人公章。</w:t>
            </w:r>
          </w:p>
        </w:tc>
      </w:tr>
      <w:tr w14:paraId="7BE4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continue"/>
            <w:shd w:val="clear" w:color="auto" w:fill="FFFFFF"/>
            <w:noWrap w:val="0"/>
            <w:vAlign w:val="center"/>
          </w:tcPr>
          <w:p w14:paraId="3B81E040">
            <w:pPr>
              <w:rPr>
                <w:rFonts w:hint="eastAsia" w:ascii="宋体" w:hAnsi="宋体" w:eastAsia="宋体" w:cs="宋体"/>
                <w:sz w:val="24"/>
                <w:highlight w:val="none"/>
              </w:rPr>
            </w:pPr>
          </w:p>
        </w:tc>
        <w:tc>
          <w:tcPr>
            <w:tcW w:w="7096" w:type="dxa"/>
            <w:shd w:val="clear" w:color="auto" w:fill="FFFFFF"/>
            <w:noWrap w:val="0"/>
            <w:vAlign w:val="center"/>
          </w:tcPr>
          <w:p w14:paraId="1EA5FC72">
            <w:pPr>
              <w:rPr>
                <w:rFonts w:hint="eastAsia" w:ascii="宋体" w:hAnsi="宋体" w:eastAsia="宋体" w:cs="宋体"/>
                <w:sz w:val="24"/>
                <w:highlight w:val="none"/>
              </w:rPr>
            </w:pPr>
            <w:r>
              <w:rPr>
                <w:rFonts w:hint="eastAsia" w:ascii="宋体" w:hAnsi="宋体" w:eastAsia="宋体" w:cs="宋体"/>
                <w:sz w:val="24"/>
                <w:highlight w:val="none"/>
              </w:rPr>
              <w:t>#云服务商提供采购人可自服务的云资源可视化管理能力，支持业务探活能力，能够根据业务系统服务IP地址、服务链接进行业务健康状态探测，展示系统运行状态，如正常、异常等，提供演示系统链接及管理工具截图证明，并加盖投标人公章。</w:t>
            </w:r>
          </w:p>
        </w:tc>
      </w:tr>
      <w:tr w14:paraId="434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75" w:type="dxa"/>
            <w:vMerge w:val="continue"/>
            <w:shd w:val="clear" w:color="auto" w:fill="FFFFFF"/>
            <w:noWrap w:val="0"/>
            <w:vAlign w:val="center"/>
          </w:tcPr>
          <w:p w14:paraId="2F06F306">
            <w:pPr>
              <w:rPr>
                <w:rFonts w:hint="eastAsia" w:ascii="宋体" w:hAnsi="宋体" w:eastAsia="宋体" w:cs="宋体"/>
                <w:sz w:val="24"/>
                <w:highlight w:val="none"/>
              </w:rPr>
            </w:pPr>
          </w:p>
        </w:tc>
        <w:tc>
          <w:tcPr>
            <w:tcW w:w="7096" w:type="dxa"/>
            <w:shd w:val="clear" w:color="auto" w:fill="FFFFFF"/>
            <w:noWrap w:val="0"/>
            <w:vAlign w:val="center"/>
          </w:tcPr>
          <w:p w14:paraId="71ABC70F">
            <w:pPr>
              <w:rPr>
                <w:rFonts w:hint="eastAsia" w:ascii="宋体" w:hAnsi="宋体" w:eastAsia="宋体" w:cs="宋体"/>
                <w:sz w:val="24"/>
                <w:highlight w:val="none"/>
              </w:rPr>
            </w:pPr>
            <w:r>
              <w:rPr>
                <w:rFonts w:hint="eastAsia" w:ascii="宋体" w:hAnsi="宋体" w:eastAsia="宋体" w:cs="宋体"/>
                <w:sz w:val="24"/>
                <w:highlight w:val="none"/>
              </w:rPr>
              <w:t>#云服务商提供采购人可自服务的云资源可视化管理能力，支持云效率分析展示能力，能够清晰展示云效率总值以及云效率变化轨迹图，时刻掌握系统云资源使用情况，并能够清晰展示不同系统云效率情况。提供演示系统链接及管理工具截图证明，并加盖投标人公章。</w:t>
            </w:r>
          </w:p>
        </w:tc>
      </w:tr>
    </w:tbl>
    <w:p w14:paraId="4F418229">
      <w:pPr>
        <w:rPr>
          <w:rFonts w:hint="eastAsia" w:ascii="宋体" w:hAnsi="宋体" w:eastAsia="宋体" w:cs="宋体"/>
          <w:sz w:val="24"/>
          <w:highlight w:val="none"/>
        </w:rPr>
      </w:pPr>
    </w:p>
    <w:p w14:paraId="074EA399">
      <w:pPr>
        <w:pStyle w:val="3"/>
        <w:spacing w:line="360" w:lineRule="auto"/>
        <w:ind w:left="36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（二）采购目标</w:t>
      </w:r>
    </w:p>
    <w:p w14:paraId="01E88E3D">
      <w:pPr>
        <w:tabs>
          <w:tab w:val="left" w:pos="567"/>
        </w:tabs>
        <w:spacing w:line="360" w:lineRule="auto"/>
        <w:ind w:left="31" w:firstLine="420"/>
        <w:rPr>
          <w:rFonts w:hint="eastAsia" w:ascii="宋体" w:hAnsi="宋体" w:eastAsia="宋体" w:cs="宋体"/>
          <w:kern w:val="44"/>
          <w:sz w:val="24"/>
          <w:highlight w:val="none"/>
        </w:rPr>
      </w:pPr>
      <w:r>
        <w:rPr>
          <w:rFonts w:hint="eastAsia" w:ascii="宋体" w:hAnsi="宋体" w:eastAsia="宋体" w:cs="宋体"/>
          <w:kern w:val="44"/>
          <w:sz w:val="24"/>
          <w:highlight w:val="none"/>
        </w:rPr>
        <w:t>本项目的总体目标是通过租用政务云平台基础服务，对市应急管理局信息化系统的运行环境进行持续优化，提供可靠、稳定、安全的政务云基础服务，具体包括：</w:t>
      </w:r>
    </w:p>
    <w:p w14:paraId="53AAEB74">
      <w:pPr>
        <w:tabs>
          <w:tab w:val="left" w:pos="567"/>
        </w:tabs>
        <w:spacing w:line="360" w:lineRule="auto"/>
        <w:ind w:left="31" w:firstLine="420"/>
        <w:rPr>
          <w:rFonts w:hint="eastAsia" w:ascii="宋体" w:hAnsi="宋体" w:eastAsia="宋体" w:cs="宋体"/>
          <w:kern w:val="44"/>
          <w:sz w:val="24"/>
          <w:highlight w:val="none"/>
        </w:rPr>
      </w:pPr>
      <w:r>
        <w:rPr>
          <w:rFonts w:hint="eastAsia" w:ascii="宋体" w:hAnsi="宋体" w:eastAsia="宋体" w:cs="宋体"/>
          <w:kern w:val="44"/>
          <w:sz w:val="24"/>
          <w:highlight w:val="none"/>
        </w:rPr>
        <w:t>1、提供政务云基础服务，包括计算服务、存储服务和网络服务等基础环境日常维护、应急响应等工作。</w:t>
      </w:r>
    </w:p>
    <w:p w14:paraId="783E9BB1">
      <w:pPr>
        <w:tabs>
          <w:tab w:val="left" w:pos="567"/>
        </w:tabs>
        <w:spacing w:line="360" w:lineRule="auto"/>
        <w:ind w:left="31" w:firstLine="420"/>
        <w:rPr>
          <w:rFonts w:hint="eastAsia" w:ascii="宋体" w:hAnsi="宋体" w:eastAsia="宋体" w:cs="宋体"/>
          <w:kern w:val="44"/>
          <w:sz w:val="24"/>
          <w:highlight w:val="none"/>
        </w:rPr>
      </w:pPr>
      <w:r>
        <w:rPr>
          <w:rFonts w:hint="eastAsia" w:ascii="宋体" w:hAnsi="宋体" w:eastAsia="宋体" w:cs="宋体"/>
          <w:kern w:val="44"/>
          <w:sz w:val="24"/>
          <w:highlight w:val="none"/>
        </w:rPr>
        <w:t>2、提供7*24 运维保障，做好重大活动和节假日应急值守保障服务，确保各系统在政务云环境中可靠稳定运行。</w:t>
      </w:r>
    </w:p>
    <w:p w14:paraId="66AECC65">
      <w:pPr>
        <w:tabs>
          <w:tab w:val="left" w:pos="567"/>
        </w:tabs>
        <w:spacing w:line="360" w:lineRule="auto"/>
        <w:ind w:left="31" w:firstLine="420"/>
        <w:rPr>
          <w:rFonts w:hint="eastAsia" w:ascii="宋体" w:hAnsi="宋体" w:eastAsia="宋体" w:cs="宋体"/>
          <w:kern w:val="44"/>
          <w:sz w:val="24"/>
          <w:highlight w:val="none"/>
        </w:rPr>
      </w:pPr>
      <w:r>
        <w:rPr>
          <w:rFonts w:hint="eastAsia" w:ascii="宋体" w:hAnsi="宋体" w:eastAsia="宋体" w:cs="宋体"/>
          <w:kern w:val="44"/>
          <w:sz w:val="24"/>
          <w:highlight w:val="none"/>
        </w:rPr>
        <w:t>3、服务期内，</w:t>
      </w:r>
      <w:r>
        <w:rPr>
          <w:rFonts w:hint="eastAsia" w:ascii="宋体" w:hAnsi="宋体" w:eastAsia="宋体" w:cs="宋体"/>
          <w:sz w:val="24"/>
          <w:highlight w:val="none"/>
        </w:rPr>
        <w:t>投标人</w:t>
      </w:r>
      <w:r>
        <w:rPr>
          <w:rFonts w:hint="eastAsia" w:ascii="宋体" w:hAnsi="宋体" w:eastAsia="宋体" w:cs="宋体"/>
          <w:kern w:val="44"/>
          <w:sz w:val="24"/>
          <w:highlight w:val="none"/>
        </w:rPr>
        <w:t>须完成信息系统的日常运维和安全运维服务工作（包括但不限于：云平台服务、日常技术支持、系统日常维护、服务规范、安全及保密要求、响应的及时性），确保入云系统安全、稳定的运行。</w:t>
      </w:r>
    </w:p>
    <w:p w14:paraId="60F9990D">
      <w:pPr>
        <w:pStyle w:val="3"/>
        <w:spacing w:line="360" w:lineRule="auto"/>
        <w:ind w:left="36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（三）服务内容</w:t>
      </w:r>
    </w:p>
    <w:p w14:paraId="5C53780E">
      <w:pPr>
        <w:pStyle w:val="2"/>
        <w:spacing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1、计算服务</w:t>
      </w:r>
    </w:p>
    <w:p w14:paraId="331AC2E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w:t>
      </w:r>
      <w:r>
        <w:rPr>
          <w:rFonts w:hint="eastAsia" w:ascii="宋体" w:hAnsi="宋体" w:eastAsia="宋体" w:cs="宋体"/>
          <w:sz w:val="24"/>
          <w:highlight w:val="none"/>
        </w:rPr>
        <w:t>，提供x86平台云主机服务、x86物理服务器租用服务和图形图像计算服务。按照采购人要求对vCPU及内存进行动态调整，自接到工单至完成调整时间不超过4小时。</w:t>
      </w:r>
    </w:p>
    <w:p w14:paraId="6B9B1E44">
      <w:pPr>
        <w:pStyle w:val="2"/>
        <w:spacing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2、存储服务</w:t>
      </w:r>
    </w:p>
    <w:p w14:paraId="3F7CCC7A">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需根据采购需求，提供普通性能存储、高性能存储、静态存储和本地备份服务。</w:t>
      </w:r>
    </w:p>
    <w:p w14:paraId="3B7C0D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需根据采购需求，提供单盘IOPS1000-3000的普通性能存储服务，按照采购人要求对存储空间和配置进行动态调整。</w:t>
      </w:r>
    </w:p>
    <w:p w14:paraId="0525787A">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需根据采购需求，提供单盘IOPS 3000-20000的高性能存储服务，按照采购人要求对存储空间和配置进行动态调整。</w:t>
      </w:r>
    </w:p>
    <w:p w14:paraId="74A37F74">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需根据采购需求，提供静态存储服务，具备PB级线性扩展能力。</w:t>
      </w:r>
    </w:p>
    <w:p w14:paraId="78990ADF">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需根据采购需求，提供本地备份服务，通过备份策略实现文件、操作系统、数据库的本地备份。</w:t>
      </w:r>
    </w:p>
    <w:p w14:paraId="07DB9A33">
      <w:pPr>
        <w:pStyle w:val="2"/>
        <w:spacing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3、网络服务</w:t>
      </w:r>
    </w:p>
    <w:p w14:paraId="6FE91C8D">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需根据采购需求，提供链路带宽服务及互联网IP地址租用服务，并提供相应的网络域名备案服务，按照管理部门要求,配合系统应用厂商提供网络策略配置服务；</w:t>
      </w:r>
    </w:p>
    <w:p w14:paraId="460EB702">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需根据采购需求，提供应用负载均衡服务，实现主机应用集群的负载均衡；</w:t>
      </w:r>
    </w:p>
    <w:p w14:paraId="15FAB24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需根据采购需求，提供远程接入服务，每个账号结合身份验证通过VPN远程接入堡垒机维护应用系统；</w:t>
      </w:r>
    </w:p>
    <w:p w14:paraId="3E6B35CE">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需根据采购需求，提供WAF防护服务，通过在前端架设WAF防护服务，保证用户对已知安全隐患进行防护，实时升级漏洞补丁，配置防护策略，起到前端防护作用；</w:t>
      </w:r>
    </w:p>
    <w:p w14:paraId="13C6B20C">
      <w:pPr>
        <w:pStyle w:val="2"/>
        <w:spacing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4、运维服务</w:t>
      </w:r>
    </w:p>
    <w:p w14:paraId="4579BB15">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提供的政务云环境应在安全等保三级基础上，按各业务系统具体安全需求，开展相应等保评估、检查、整改等工作。</w:t>
      </w:r>
    </w:p>
    <w:p w14:paraId="0F054E08">
      <w:pPr>
        <w:pStyle w:val="4"/>
        <w:spacing w:line="360" w:lineRule="auto"/>
        <w:rPr>
          <w:rFonts w:hint="eastAsia" w:ascii="宋体" w:hAnsi="宋体" w:eastAsia="宋体" w:cs="宋体"/>
          <w:b w:val="0"/>
          <w:bCs/>
          <w:szCs w:val="24"/>
          <w:highlight w:val="none"/>
          <w:u w:val="none"/>
        </w:rPr>
      </w:pPr>
      <w:r>
        <w:rPr>
          <w:rFonts w:hint="eastAsia" w:ascii="宋体" w:hAnsi="宋体" w:eastAsia="宋体" w:cs="宋体"/>
          <w:b w:val="0"/>
          <w:bCs/>
          <w:szCs w:val="24"/>
          <w:highlight w:val="none"/>
          <w:u w:val="none"/>
        </w:rPr>
        <w:t>（1）服务规范</w:t>
      </w:r>
    </w:p>
    <w:p w14:paraId="4B7714D6">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须严格按照《北京市市级政务云管理办法》以及采购人制定的管理办法及流程等相关制度，开展标准化运维工作。</w:t>
      </w:r>
    </w:p>
    <w:p w14:paraId="20B78CE6">
      <w:pPr>
        <w:pStyle w:val="4"/>
        <w:spacing w:line="360" w:lineRule="auto"/>
        <w:rPr>
          <w:rFonts w:hint="eastAsia" w:ascii="宋体" w:hAnsi="宋体" w:eastAsia="宋体" w:cs="宋体"/>
          <w:b w:val="0"/>
          <w:bCs/>
          <w:szCs w:val="24"/>
          <w:highlight w:val="none"/>
          <w:u w:val="none"/>
        </w:rPr>
      </w:pPr>
      <w:r>
        <w:rPr>
          <w:rFonts w:hint="eastAsia" w:ascii="宋体" w:hAnsi="宋体" w:eastAsia="宋体" w:cs="宋体"/>
          <w:b w:val="0"/>
          <w:bCs/>
          <w:szCs w:val="24"/>
          <w:highlight w:val="none"/>
          <w:u w:val="none"/>
        </w:rPr>
        <w:t>（2）服务方式</w:t>
      </w:r>
    </w:p>
    <w:p w14:paraId="33204E8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需利用监控系统或人工对机房环境、硬件设备及应用系统的运行情况进行7*24小时的不间断巡检监控，及时发现安全隐患，通知相关人员及时处理，并形成监控报告。</w:t>
      </w:r>
    </w:p>
    <w:p w14:paraId="0345CE8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37DF5BD8">
      <w:pPr>
        <w:pStyle w:val="4"/>
        <w:spacing w:line="360" w:lineRule="auto"/>
        <w:rPr>
          <w:rFonts w:hint="eastAsia" w:ascii="宋体" w:hAnsi="宋体" w:eastAsia="宋体" w:cs="宋体"/>
          <w:b w:val="0"/>
          <w:bCs/>
          <w:szCs w:val="24"/>
          <w:highlight w:val="none"/>
          <w:u w:val="none"/>
        </w:rPr>
      </w:pPr>
      <w:r>
        <w:rPr>
          <w:rFonts w:hint="eastAsia" w:ascii="宋体" w:hAnsi="宋体" w:eastAsia="宋体" w:cs="宋体"/>
          <w:b w:val="0"/>
          <w:bCs/>
          <w:szCs w:val="24"/>
          <w:highlight w:val="none"/>
          <w:u w:val="none"/>
        </w:rPr>
        <w:t>（3）安全及保密要求</w:t>
      </w:r>
    </w:p>
    <w:p w14:paraId="0FAA0FF4">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须严格遵守采购人的相关信息安全规定，不得利用系统维护服务时的便利将采购人数据及其他信息进行擅自修改或透漏给第三方。</w:t>
      </w:r>
    </w:p>
    <w:p w14:paraId="4EFAF4C0">
      <w:pPr>
        <w:pStyle w:val="4"/>
        <w:spacing w:line="360" w:lineRule="auto"/>
        <w:rPr>
          <w:rFonts w:hint="eastAsia" w:ascii="宋体" w:hAnsi="宋体" w:eastAsia="宋体" w:cs="宋体"/>
          <w:b w:val="0"/>
          <w:bCs/>
          <w:szCs w:val="24"/>
          <w:highlight w:val="none"/>
          <w:u w:val="none"/>
        </w:rPr>
      </w:pPr>
      <w:r>
        <w:rPr>
          <w:rFonts w:hint="eastAsia" w:ascii="宋体" w:hAnsi="宋体" w:eastAsia="宋体" w:cs="宋体"/>
          <w:b w:val="0"/>
          <w:bCs/>
          <w:szCs w:val="24"/>
          <w:highlight w:val="none"/>
          <w:u w:val="none"/>
        </w:rPr>
        <w:t>（4）响应的及时性</w:t>
      </w:r>
    </w:p>
    <w:p w14:paraId="22EBA9F3">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应当提供高效的系统维护服务，有效防范系统风险，系统对应负责人7*24小时电话畅通，能够在系统发生除宕机外的其他故障问题时，能够协调人力资源在1小时内到达运维现场提供服务。系统发生宕机问题时，供应商应在30分钟内响应，在4个小时之内使系统恢复正常，故障处理完毕后提供相关系统宕机报告。</w:t>
      </w:r>
    </w:p>
    <w:p w14:paraId="213A4F86">
      <w:pPr>
        <w:pStyle w:val="4"/>
        <w:spacing w:line="360" w:lineRule="auto"/>
        <w:rPr>
          <w:rFonts w:hint="eastAsia" w:ascii="宋体" w:hAnsi="宋体" w:eastAsia="宋体" w:cs="宋体"/>
          <w:b w:val="0"/>
          <w:bCs/>
          <w:szCs w:val="24"/>
          <w:highlight w:val="none"/>
          <w:u w:val="none"/>
        </w:rPr>
      </w:pPr>
      <w:r>
        <w:rPr>
          <w:rFonts w:hint="eastAsia" w:ascii="宋体" w:hAnsi="宋体" w:eastAsia="宋体" w:cs="宋体"/>
          <w:b w:val="0"/>
          <w:bCs/>
          <w:szCs w:val="24"/>
          <w:highlight w:val="none"/>
          <w:u w:val="none"/>
        </w:rPr>
        <w:t>（5）重点保障要求</w:t>
      </w:r>
    </w:p>
    <w:p w14:paraId="071C5F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投标人应具备完善的系统服务保障体系，配备足够的技术人员，在重大节假日、重大活动及业务高峰期内加大运维保障力度，保证期间系统平稳运行。</w:t>
      </w:r>
    </w:p>
    <w:p w14:paraId="01969BBC">
      <w:pPr>
        <w:pStyle w:val="2"/>
        <w:spacing w:line="360" w:lineRule="auto"/>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5.迁移服务</w:t>
      </w:r>
    </w:p>
    <w:p w14:paraId="74CA01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由于目前业务系统属于生产系统，保障业务系统连续性是关键。如涉及跨云平台迁移，需在不中断业务的前提下，自合同生效之日起7个工作日内完成全部系统迁移。供应商需具备类似项目经验，可根据业务特点制定应用系统迁移部署方案，配合用户完成系统迁移部署、运行和安全保障，最终保证现有业务系统可平滑迁移至中标单位云平台。具体要求如下：</w:t>
      </w:r>
    </w:p>
    <w:p w14:paraId="17A8D539">
      <w:pPr>
        <w:adjustRightInd w:val="0"/>
        <w:spacing w:line="360" w:lineRule="auto"/>
        <w:ind w:firstLine="480" w:firstLineChars="200"/>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根据采购人需求，完成应用系统的迁移部署，迁移过程中保证应用系统不中断。</w:t>
      </w:r>
    </w:p>
    <w:p w14:paraId="0A63B19F">
      <w:pPr>
        <w:adjustRightInd w:val="0"/>
        <w:spacing w:line="360" w:lineRule="auto"/>
        <w:ind w:firstLine="480" w:firstLineChars="200"/>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自合同生效之日起7日内，根据用户需求完成系统迁移工作，并且不能改变和影响原有系统的功能、技术状态以及用户的使用习惯。未按时完成系统迁移工作的，采购人有权解除合同并有权要求供应商按合同首付款双倍支付违约金。</w:t>
      </w:r>
    </w:p>
    <w:p w14:paraId="6E35B5EE">
      <w:pPr>
        <w:adjustRightInd w:val="0"/>
        <w:spacing w:line="360" w:lineRule="auto"/>
        <w:ind w:firstLine="480" w:firstLineChars="200"/>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针对已经运行在政务云平台上的应用系统，为确保迁移过程中数据不丢失、系统业务不中断，本次中标人负责与原政务云平台的服务商进行主动对接，系统迁移涉及的所有费用（包括但不限于成交人迁移测试阶段的云资源费用，系统开发商对业务系统的部署、调试费用，原服务商配合迁出系统的服务费用等）由本次成交人负责解决。</w:t>
      </w:r>
    </w:p>
    <w:p w14:paraId="2D4F5696">
      <w:pPr>
        <w:pStyle w:val="3"/>
        <w:spacing w:line="360" w:lineRule="auto"/>
        <w:ind w:left="360" w:firstLine="240" w:firstLineChars="10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(四）运维团队要求</w:t>
      </w:r>
    </w:p>
    <w:p w14:paraId="5E52331E">
      <w:pPr>
        <w:pStyle w:val="3"/>
        <w:spacing w:line="360" w:lineRule="auto"/>
        <w:ind w:firstLine="420"/>
        <w:jc w:val="left"/>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投标人须设立专职项目经理，技术负责人以及相应运维团队。</w:t>
      </w:r>
    </w:p>
    <w:p w14:paraId="782F50DC">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项目经理，须具有10年及以上信息系统项目管理工作经验，并具有信息系统项目管理师（高级）证书；</w:t>
      </w:r>
    </w:p>
    <w:p w14:paraId="1CC3EB5F">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技术负责人，须从事基础设施、云计算平台运维工作10年及以上，并具有CISP证书或中级及以上技术职业资格证书；</w:t>
      </w:r>
    </w:p>
    <w:p w14:paraId="27B5DA83">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项目组成员，应配备5人以上（不含5人）成员，职责分工明确；团队中至少4人具备CISP证书或中级及以上技术职业资格证书；</w:t>
      </w:r>
    </w:p>
    <w:p w14:paraId="2634DFDC">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投标人须利用监控系统或人工对硬件设备及应用系统的运行情况进行7*24小时的不间断巡检监控，及时发现安全隐患，通知相关人员及时处理，并形成监控报告。</w:t>
      </w:r>
    </w:p>
    <w:p w14:paraId="13D95857">
      <w:pPr>
        <w:spacing w:line="360" w:lineRule="auto"/>
        <w:ind w:firstLine="420"/>
        <w:rPr>
          <w:rFonts w:hint="eastAsia" w:ascii="宋体" w:hAnsi="宋体" w:eastAsia="宋体" w:cs="宋体"/>
          <w:sz w:val="24"/>
          <w:highlight w:val="none"/>
        </w:rPr>
      </w:pPr>
      <w:r>
        <w:rPr>
          <w:rFonts w:hint="eastAsia" w:ascii="宋体" w:hAnsi="宋体" w:eastAsia="宋体" w:cs="宋体"/>
          <w:sz w:val="24"/>
          <w:highlight w:val="none"/>
        </w:rPr>
        <w:t>投标人负责设立技术支持热线，并安排专人值守，提供7*24小时热线支持服务。投标人针对采购人要求的云平台运维服务相关内容，需指定专业技术能力较强的工程师，根据采购人要求配合开展相关维护服务。</w:t>
      </w:r>
    </w:p>
    <w:p w14:paraId="3E358BF7">
      <w:pPr>
        <w:pStyle w:val="3"/>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（五）保密要求</w:t>
      </w:r>
    </w:p>
    <w:p w14:paraId="0D2A44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中标人因承接本合同约定项目所知悉的该项目信息或采购人信息，以及在项目实施过程中所产生的与该项目有关的全部信息均为采购人的保密信息，中标人应按照采购人关于保密工作的相关要求，对上述保密信息承担保密义务。中标人须严格遵守信息安全规定，不得利用系统维护服务时的便利对采购人数据及其他信息擅自修改或透漏给第三方。 </w:t>
      </w:r>
    </w:p>
    <w:p w14:paraId="2C87C54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2、中标人应对上述保密信息予以妥善保存，并保证仅将其用于与完成本合 同项下约定项目实施有关的用途或目的。在缺少相关保密条款约定时，对上述保密信息,中标人应至少采取适用于对自己商业秘密进行保护的同等保护措施和审慎程度进行保密。 </w:t>
      </w:r>
    </w:p>
    <w:p w14:paraId="0368BA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3、中标人保证将保密信息的披露范围严格控制在直接从事该项目工作且因工作需要有必要知悉保密信息的工作人员范围内,对中标人非从事该项目的人员一律严格保密。</w:t>
      </w:r>
    </w:p>
    <w:p w14:paraId="5C610A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4、中标人应保证在向其工作人员披露采购人的保密信息前，认真做好员工 的保密教育工作，明确告知其将知悉的为采购人的保密信息，并明确告知其需承担的保密义务及泄密所应承担的法律责任，并要求全体参与该项目的人员签署书面《保密协议》。 </w:t>
      </w:r>
    </w:p>
    <w:p w14:paraId="5A2564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5、任何时间内，一经采购人提出要求，中标人应按照采购人指示在收到采购人书面通知后 5 日内将含有保密信息的所有文件或其他资料归还采购人，且不得擅自复制留存。</w:t>
      </w:r>
    </w:p>
    <w:p w14:paraId="6CD2FAB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6、非经采购人特别授权，采购人向中标人提供的任何保密信息并不包括授予中标人该保密信息包含的任何专利权、商标权、著作权、商业秘密或其它类型的知识产权。</w:t>
      </w:r>
    </w:p>
    <w:p w14:paraId="5B640588">
      <w:pPr>
        <w:rPr>
          <w:highlight w:val="none"/>
        </w:rPr>
      </w:pPr>
    </w:p>
    <w:p w14:paraId="45F00EC8">
      <w:pPr>
        <w:rPr>
          <w:highlight w:val="none"/>
        </w:rPr>
      </w:pPr>
    </w:p>
    <w:p w14:paraId="1990C84A">
      <w:pPr>
        <w:rPr>
          <w:highlight w:val="none"/>
        </w:rPr>
      </w:pPr>
    </w:p>
    <w:p w14:paraId="4EE2E56B">
      <w:pPr>
        <w:rPr>
          <w:highlight w:val="none"/>
        </w:rPr>
      </w:pPr>
    </w:p>
    <w:p w14:paraId="61ADCE7C">
      <w:pPr>
        <w:rPr>
          <w:highlight w:val="none"/>
        </w:rPr>
      </w:pPr>
    </w:p>
    <w:p w14:paraId="53C76256">
      <w:pPr>
        <w:rPr>
          <w:highlight w:val="none"/>
        </w:rPr>
      </w:pPr>
    </w:p>
    <w:p w14:paraId="343FB9F0">
      <w:pPr>
        <w:rPr>
          <w:highlight w:val="none"/>
        </w:rPr>
      </w:pPr>
    </w:p>
    <w:p w14:paraId="75425AD1">
      <w:pPr>
        <w:rPr>
          <w:highlight w:val="none"/>
        </w:rPr>
      </w:pPr>
    </w:p>
    <w:p w14:paraId="646DDE49">
      <w:pPr>
        <w:jc w:val="center"/>
        <w:rPr>
          <w:rFonts w:hint="eastAsia" w:eastAsia="宋体"/>
          <w:highlight w:val="none"/>
          <w:lang w:eastAsia="zh-CN"/>
        </w:rPr>
      </w:pPr>
      <w:r>
        <w:rPr>
          <w:rFonts w:hint="eastAsia"/>
          <w:b/>
          <w:sz w:val="36"/>
          <w:szCs w:val="36"/>
          <w:highlight w:val="none"/>
          <w:lang w:eastAsia="zh-CN"/>
        </w:rPr>
        <w:t>第二包</w:t>
      </w:r>
    </w:p>
    <w:p w14:paraId="64C0F7DB">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bidi="ar"/>
        </w:rPr>
        <w:t>一、采购标的</w:t>
      </w:r>
    </w:p>
    <w:p w14:paraId="5D3FF40E">
      <w:pPr>
        <w:adjustRightInd w:val="0"/>
        <w:spacing w:line="360" w:lineRule="auto"/>
        <w:ind w:firstLine="480" w:firstLineChars="200"/>
        <w:jc w:val="left"/>
        <w:textAlignment w:val="baseline"/>
        <w:rPr>
          <w:rFonts w:ascii="宋体" w:hAnsi="宋体" w:cs="宋体"/>
          <w:b w:val="0"/>
          <w:bCs w:val="0"/>
          <w:kern w:val="0"/>
          <w:sz w:val="24"/>
          <w:szCs w:val="22"/>
          <w:highlight w:val="none"/>
          <w:lang w:bidi="ar"/>
        </w:rPr>
      </w:pPr>
      <w:r>
        <w:rPr>
          <w:rFonts w:hint="eastAsia" w:ascii="宋体" w:hAnsi="宋体" w:cs="宋体"/>
          <w:b w:val="0"/>
          <w:bCs w:val="0"/>
          <w:kern w:val="0"/>
          <w:sz w:val="24"/>
          <w:szCs w:val="22"/>
          <w:highlight w:val="none"/>
          <w:lang w:bidi="ar"/>
        </w:rPr>
        <w:t>（一）项目情况</w:t>
      </w:r>
    </w:p>
    <w:tbl>
      <w:tblPr>
        <w:tblStyle w:val="8"/>
        <w:tblW w:w="8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856"/>
        <w:gridCol w:w="4345"/>
        <w:gridCol w:w="2462"/>
        <w:gridCol w:w="856"/>
      </w:tblGrid>
      <w:tr w14:paraId="0B8B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blHeader/>
          <w:jc w:val="center"/>
        </w:trPr>
        <w:tc>
          <w:tcPr>
            <w:tcW w:w="856" w:type="dxa"/>
            <w:noWrap w:val="0"/>
            <w:vAlign w:val="center"/>
          </w:tcPr>
          <w:p w14:paraId="68DB3D8A">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包号</w:t>
            </w:r>
          </w:p>
        </w:tc>
        <w:tc>
          <w:tcPr>
            <w:tcW w:w="4345" w:type="dxa"/>
            <w:noWrap w:val="0"/>
            <w:vAlign w:val="center"/>
          </w:tcPr>
          <w:p w14:paraId="547A0481">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标的名称</w:t>
            </w:r>
          </w:p>
        </w:tc>
        <w:tc>
          <w:tcPr>
            <w:tcW w:w="2462" w:type="dxa"/>
            <w:noWrap w:val="0"/>
            <w:vAlign w:val="center"/>
          </w:tcPr>
          <w:p w14:paraId="558C46F3">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采购包预算金额</w:t>
            </w:r>
          </w:p>
          <w:p w14:paraId="533B0668">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（万元）</w:t>
            </w:r>
          </w:p>
        </w:tc>
        <w:tc>
          <w:tcPr>
            <w:tcW w:w="856" w:type="dxa"/>
            <w:noWrap w:val="0"/>
            <w:vAlign w:val="center"/>
          </w:tcPr>
          <w:p w14:paraId="4E6B0D11">
            <w:pPr>
              <w:widowControl/>
              <w:autoSpaceDE w:val="0"/>
              <w:autoSpaceDN w:val="0"/>
              <w:snapToGrid w:val="0"/>
              <w:jc w:val="center"/>
              <w:textAlignment w:val="center"/>
              <w:rPr>
                <w:rFonts w:ascii="宋体" w:hAnsi="宋体" w:cs="宋体"/>
                <w:b/>
                <w:color w:val="000000"/>
                <w:kern w:val="0"/>
                <w:sz w:val="24"/>
                <w:highlight w:val="none"/>
                <w:lang w:eastAsia="en-US" w:bidi="ar"/>
              </w:rPr>
            </w:pPr>
            <w:r>
              <w:rPr>
                <w:rFonts w:hint="eastAsia" w:ascii="宋体" w:hAnsi="宋体" w:cs="宋体"/>
                <w:b/>
                <w:color w:val="000000"/>
                <w:kern w:val="0"/>
                <w:sz w:val="24"/>
                <w:highlight w:val="none"/>
                <w:lang w:eastAsia="en-US" w:bidi="ar"/>
              </w:rPr>
              <w:t>数量</w:t>
            </w:r>
          </w:p>
        </w:tc>
      </w:tr>
      <w:tr w14:paraId="3EE8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jc w:val="center"/>
        </w:trPr>
        <w:tc>
          <w:tcPr>
            <w:tcW w:w="856" w:type="dxa"/>
            <w:noWrap w:val="0"/>
            <w:vAlign w:val="center"/>
          </w:tcPr>
          <w:p w14:paraId="4BFAA904">
            <w:pPr>
              <w:widowControl/>
              <w:autoSpaceDE w:val="0"/>
              <w:autoSpaceDN w:val="0"/>
              <w:snapToGrid w:val="0"/>
              <w:jc w:val="center"/>
              <w:textAlignment w:val="center"/>
              <w:rPr>
                <w:rFonts w:ascii="宋体" w:hAnsi="宋体" w:cs="宋体"/>
                <w:color w:val="000000"/>
                <w:kern w:val="0"/>
                <w:sz w:val="24"/>
                <w:highlight w:val="none"/>
                <w:lang w:eastAsia="en-US" w:bidi="ar"/>
              </w:rPr>
            </w:pPr>
            <w:r>
              <w:rPr>
                <w:rFonts w:hint="eastAsia" w:ascii="宋体" w:hAnsi="宋体" w:cs="宋体"/>
                <w:color w:val="000000"/>
                <w:kern w:val="0"/>
                <w:sz w:val="24"/>
                <w:highlight w:val="none"/>
                <w:lang w:eastAsia="en-US" w:bidi="ar"/>
              </w:rPr>
              <w:t>1</w:t>
            </w:r>
          </w:p>
        </w:tc>
        <w:tc>
          <w:tcPr>
            <w:tcW w:w="4345" w:type="dxa"/>
            <w:noWrap w:val="0"/>
            <w:vAlign w:val="center"/>
          </w:tcPr>
          <w:p w14:paraId="522110DA">
            <w:pPr>
              <w:widowControl/>
              <w:autoSpaceDE w:val="0"/>
              <w:autoSpaceDN w:val="0"/>
              <w:snapToGrid w:val="0"/>
              <w:jc w:val="center"/>
              <w:textAlignment w:val="center"/>
              <w:rPr>
                <w:rFonts w:ascii="宋体" w:hAnsi="宋体" w:cs="宋体"/>
                <w:color w:val="000000"/>
                <w:kern w:val="0"/>
                <w:sz w:val="24"/>
                <w:highlight w:val="none"/>
                <w:lang w:eastAsia="en-US" w:bidi="ar"/>
              </w:rPr>
            </w:pPr>
            <w:r>
              <w:rPr>
                <w:rFonts w:hint="eastAsia" w:ascii="宋体" w:hAnsi="宋体" w:eastAsia="宋体" w:cs="宋体"/>
                <w:kern w:val="44"/>
                <w:sz w:val="24"/>
                <w:highlight w:val="none"/>
                <w:lang w:eastAsia="zh-CN" w:bidi="ar"/>
              </w:rPr>
              <w:t>北京市应急指挥保障中心2026-2027年度信息系统政务云租用项目（第二包）</w:t>
            </w:r>
          </w:p>
        </w:tc>
        <w:tc>
          <w:tcPr>
            <w:tcW w:w="2462" w:type="dxa"/>
            <w:noWrap w:val="0"/>
            <w:vAlign w:val="center"/>
          </w:tcPr>
          <w:p w14:paraId="082004AA">
            <w:pPr>
              <w:widowControl/>
              <w:autoSpaceDE w:val="0"/>
              <w:autoSpaceDN w:val="0"/>
              <w:snapToGrid w:val="0"/>
              <w:jc w:val="center"/>
              <w:textAlignment w:val="center"/>
              <w:rPr>
                <w:rFonts w:hint="default" w:ascii="宋体" w:hAnsi="宋体" w:eastAsia="宋体" w:cs="宋体"/>
                <w:color w:val="000000"/>
                <w:kern w:val="0"/>
                <w:sz w:val="24"/>
                <w:highlight w:val="none"/>
                <w:lang w:val="en-US" w:eastAsia="zh-CN" w:bidi="ar"/>
              </w:rPr>
            </w:pPr>
            <w:r>
              <w:rPr>
                <w:rFonts w:hint="default" w:ascii="宋体" w:hAnsi="宋体" w:eastAsia="宋体" w:cs="宋体"/>
                <w:color w:val="000000"/>
                <w:kern w:val="0"/>
                <w:sz w:val="24"/>
                <w:highlight w:val="none"/>
                <w:lang w:val="en-US" w:eastAsia="zh-CN" w:bidi="ar"/>
              </w:rPr>
              <w:t>1230.79808</w:t>
            </w:r>
          </w:p>
        </w:tc>
        <w:tc>
          <w:tcPr>
            <w:tcW w:w="856" w:type="dxa"/>
            <w:noWrap w:val="0"/>
            <w:vAlign w:val="center"/>
          </w:tcPr>
          <w:p w14:paraId="3FD4EC1E">
            <w:pPr>
              <w:widowControl/>
              <w:autoSpaceDE w:val="0"/>
              <w:autoSpaceDN w:val="0"/>
              <w:snapToGrid w:val="0"/>
              <w:jc w:val="center"/>
              <w:textAlignment w:val="center"/>
              <w:rPr>
                <w:rFonts w:ascii="宋体" w:hAnsi="宋体" w:cs="宋体"/>
                <w:color w:val="000000"/>
                <w:kern w:val="0"/>
                <w:sz w:val="24"/>
                <w:highlight w:val="none"/>
                <w:lang w:eastAsia="en-US" w:bidi="ar"/>
              </w:rPr>
            </w:pPr>
            <w:r>
              <w:rPr>
                <w:rFonts w:hint="eastAsia" w:ascii="宋体" w:hAnsi="宋体" w:cs="宋体"/>
                <w:color w:val="000000"/>
                <w:kern w:val="0"/>
                <w:sz w:val="24"/>
                <w:highlight w:val="none"/>
                <w:lang w:eastAsia="en-US" w:bidi="ar"/>
              </w:rPr>
              <w:t>1</w:t>
            </w:r>
          </w:p>
        </w:tc>
      </w:tr>
    </w:tbl>
    <w:p w14:paraId="77A062F2">
      <w:pPr>
        <w:adjustRightInd w:val="0"/>
        <w:spacing w:line="360" w:lineRule="auto"/>
        <w:ind w:firstLine="480" w:firstLineChars="200"/>
        <w:jc w:val="left"/>
        <w:textAlignment w:val="baseline"/>
        <w:rPr>
          <w:rFonts w:hint="eastAsia" w:ascii="宋体" w:hAnsi="宋体" w:eastAsia="宋体" w:cs="宋体"/>
          <w:b w:val="0"/>
          <w:bCs w:val="0"/>
          <w:kern w:val="0"/>
          <w:sz w:val="24"/>
          <w:szCs w:val="22"/>
          <w:highlight w:val="none"/>
          <w:lang w:bidi="ar"/>
        </w:rPr>
      </w:pPr>
      <w:r>
        <w:rPr>
          <w:rFonts w:hint="eastAsia" w:ascii="宋体" w:hAnsi="宋体" w:eastAsia="宋体" w:cs="宋体"/>
          <w:b w:val="0"/>
          <w:bCs w:val="0"/>
          <w:kern w:val="0"/>
          <w:sz w:val="24"/>
          <w:szCs w:val="22"/>
          <w:highlight w:val="none"/>
          <w:lang w:bidi="ar"/>
        </w:rPr>
        <w:t>（二）项目背景或概况</w:t>
      </w:r>
    </w:p>
    <w:p w14:paraId="00BBA83D">
      <w:pPr>
        <w:adjustRightInd w:val="0"/>
        <w:spacing w:line="360" w:lineRule="auto"/>
        <w:ind w:firstLine="480" w:firstLineChars="200"/>
        <w:jc w:val="left"/>
        <w:textAlignment w:val="baseline"/>
        <w:rPr>
          <w:rFonts w:hint="eastAsia" w:ascii="宋体" w:hAnsi="宋体" w:cs="宋体"/>
          <w:kern w:val="0"/>
          <w:sz w:val="24"/>
          <w:szCs w:val="22"/>
          <w:highlight w:val="none"/>
          <w:lang w:eastAsia="zh-CN" w:bidi="ar"/>
        </w:rPr>
      </w:pPr>
      <w:r>
        <w:rPr>
          <w:rFonts w:hint="eastAsia" w:ascii="宋体" w:hAnsi="宋体" w:cs="宋体"/>
          <w:kern w:val="0"/>
          <w:sz w:val="24"/>
          <w:szCs w:val="22"/>
          <w:highlight w:val="none"/>
          <w:lang w:eastAsia="zh-CN" w:bidi="ar"/>
        </w:rPr>
        <w:t>为贯彻落实北京市经济和信息化局关于印发《北京市市级政务云管理办法的通知》（京经信委函（2019）150号）文件的要求，北京市应急指挥保障中心业务系统已迁移部署至市级政务云平台。</w:t>
      </w:r>
    </w:p>
    <w:p w14:paraId="7671273C">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bidi="ar"/>
        </w:rPr>
        <w:t>二、商务要求</w:t>
      </w:r>
    </w:p>
    <w:p w14:paraId="32B4AA31">
      <w:pPr>
        <w:adjustRightInd w:val="0"/>
        <w:spacing w:line="360" w:lineRule="auto"/>
        <w:ind w:firstLine="480" w:firstLineChars="200"/>
        <w:jc w:val="left"/>
        <w:textAlignment w:val="baseline"/>
        <w:rPr>
          <w:rFonts w:hint="eastAsia" w:ascii="宋体" w:hAnsi="宋体" w:eastAsia="宋体" w:cs="宋体"/>
          <w:b w:val="0"/>
          <w:bCs w:val="0"/>
          <w:kern w:val="0"/>
          <w:sz w:val="24"/>
          <w:szCs w:val="22"/>
          <w:highlight w:val="none"/>
          <w:lang w:bidi="ar"/>
        </w:rPr>
      </w:pPr>
      <w:r>
        <w:rPr>
          <w:rFonts w:hint="eastAsia" w:ascii="宋体" w:hAnsi="宋体" w:eastAsia="宋体" w:cs="宋体"/>
          <w:b w:val="0"/>
          <w:bCs w:val="0"/>
          <w:kern w:val="0"/>
          <w:sz w:val="24"/>
          <w:szCs w:val="22"/>
          <w:highlight w:val="none"/>
          <w:lang w:bidi="ar"/>
        </w:rPr>
        <w:t>（一）服务地点</w:t>
      </w:r>
    </w:p>
    <w:p w14:paraId="68CD73B3">
      <w:pPr>
        <w:adjustRightInd w:val="0"/>
        <w:spacing w:line="360" w:lineRule="auto"/>
        <w:ind w:firstLine="480" w:firstLineChars="200"/>
        <w:jc w:val="left"/>
        <w:textAlignment w:val="baseline"/>
        <w:rPr>
          <w:rFonts w:hint="eastAsia"/>
          <w:sz w:val="24"/>
          <w:highlight w:val="none"/>
        </w:rPr>
      </w:pPr>
      <w:r>
        <w:rPr>
          <w:rFonts w:hint="eastAsia" w:ascii="宋体" w:hAnsi="宋体" w:cs="宋体"/>
          <w:kern w:val="0"/>
          <w:sz w:val="24"/>
          <w:szCs w:val="22"/>
          <w:highlight w:val="none"/>
          <w:lang w:bidi="ar"/>
        </w:rPr>
        <w:t>服务地点</w:t>
      </w:r>
      <w:r>
        <w:rPr>
          <w:rFonts w:hint="eastAsia" w:ascii="宋体" w:hAnsi="宋体" w:cs="宋体"/>
          <w:kern w:val="0"/>
          <w:sz w:val="24"/>
          <w:szCs w:val="22"/>
          <w:highlight w:val="none"/>
          <w:lang w:eastAsia="zh-CN" w:bidi="ar"/>
        </w:rPr>
        <w:t>：北京市</w:t>
      </w:r>
      <w:r>
        <w:rPr>
          <w:rFonts w:hint="eastAsia" w:ascii="宋体" w:hAnsi="宋体" w:cs="宋体"/>
          <w:kern w:val="0"/>
          <w:sz w:val="24"/>
          <w:szCs w:val="22"/>
          <w:highlight w:val="none"/>
          <w:lang w:val="en-US" w:eastAsia="zh-CN" w:bidi="ar"/>
        </w:rPr>
        <w:t>政务云机房</w:t>
      </w:r>
      <w:r>
        <w:rPr>
          <w:rFonts w:hint="eastAsia" w:ascii="宋体" w:hAnsi="宋体" w:cs="宋体"/>
          <w:kern w:val="0"/>
          <w:sz w:val="24"/>
          <w:szCs w:val="22"/>
          <w:highlight w:val="none"/>
          <w:lang w:bidi="ar"/>
        </w:rPr>
        <w:t>。</w:t>
      </w:r>
    </w:p>
    <w:p w14:paraId="36C8170F">
      <w:pPr>
        <w:adjustRightInd w:val="0"/>
        <w:spacing w:line="360" w:lineRule="auto"/>
        <w:ind w:firstLine="480" w:firstLineChars="200"/>
        <w:jc w:val="left"/>
        <w:textAlignment w:val="baseline"/>
        <w:rPr>
          <w:rFonts w:hint="eastAsia" w:ascii="宋体" w:hAnsi="宋体" w:eastAsia="宋体" w:cs="宋体"/>
          <w:b w:val="0"/>
          <w:bCs w:val="0"/>
          <w:kern w:val="0"/>
          <w:sz w:val="24"/>
          <w:szCs w:val="22"/>
          <w:highlight w:val="none"/>
          <w:lang w:val="en-US" w:eastAsia="zh-CN" w:bidi="ar"/>
        </w:rPr>
      </w:pPr>
      <w:r>
        <w:rPr>
          <w:rFonts w:hint="eastAsia" w:ascii="宋体" w:hAnsi="宋体" w:eastAsia="宋体" w:cs="宋体"/>
          <w:b w:val="0"/>
          <w:bCs w:val="0"/>
          <w:kern w:val="0"/>
          <w:sz w:val="24"/>
          <w:szCs w:val="22"/>
          <w:highlight w:val="none"/>
          <w:lang w:val="en-US" w:eastAsia="zh-CN" w:bidi="ar"/>
        </w:rPr>
        <w:t>（二）服务期限</w:t>
      </w:r>
    </w:p>
    <w:p w14:paraId="6D59EE88">
      <w:pPr>
        <w:adjustRightInd w:val="0"/>
        <w:spacing w:line="360" w:lineRule="auto"/>
        <w:ind w:firstLine="480" w:firstLineChars="200"/>
        <w:jc w:val="left"/>
        <w:textAlignment w:val="baseline"/>
        <w:rPr>
          <w:rFonts w:hint="default" w:ascii="宋体" w:hAnsi="宋体" w:eastAsia="宋体" w:cs="宋体"/>
          <w:kern w:val="0"/>
          <w:sz w:val="24"/>
          <w:szCs w:val="22"/>
          <w:highlight w:val="none"/>
          <w:lang w:val="en-US" w:eastAsia="zh-CN" w:bidi="ar"/>
        </w:rPr>
      </w:pPr>
      <w:r>
        <w:rPr>
          <w:rFonts w:hint="eastAsia" w:ascii="宋体" w:hAnsi="宋体" w:cs="宋体"/>
          <w:kern w:val="0"/>
          <w:sz w:val="24"/>
          <w:szCs w:val="22"/>
          <w:highlight w:val="none"/>
          <w:lang w:bidi="ar"/>
        </w:rPr>
        <w:t>服务</w:t>
      </w:r>
      <w:r>
        <w:rPr>
          <w:rFonts w:hint="eastAsia" w:ascii="宋体" w:hAnsi="宋体" w:cs="宋体"/>
          <w:kern w:val="0"/>
          <w:sz w:val="24"/>
          <w:szCs w:val="22"/>
          <w:highlight w:val="none"/>
          <w:lang w:val="en-US" w:eastAsia="zh-CN" w:bidi="ar"/>
        </w:rPr>
        <w:t>期限</w:t>
      </w:r>
      <w:r>
        <w:rPr>
          <w:rFonts w:hint="eastAsia" w:ascii="宋体" w:hAnsi="宋体" w:cs="宋体"/>
          <w:kern w:val="0"/>
          <w:sz w:val="24"/>
          <w:szCs w:val="22"/>
          <w:highlight w:val="none"/>
          <w:lang w:bidi="ar"/>
        </w:rPr>
        <w:t>：</w:t>
      </w:r>
      <w:r>
        <w:rPr>
          <w:rFonts w:hint="eastAsia"/>
          <w:bCs w:val="0"/>
          <w:sz w:val="24"/>
          <w:szCs w:val="24"/>
          <w:highlight w:val="none"/>
          <w:lang w:val="en-US" w:eastAsia="zh-CN"/>
        </w:rPr>
        <w:t>2026年6月20日至2027年6月19日。</w:t>
      </w:r>
    </w:p>
    <w:p w14:paraId="11065698">
      <w:pPr>
        <w:adjustRightInd w:val="0"/>
        <w:spacing w:line="360" w:lineRule="auto"/>
        <w:ind w:firstLine="480" w:firstLineChars="200"/>
        <w:jc w:val="left"/>
        <w:textAlignment w:val="baseline"/>
        <w:rPr>
          <w:rFonts w:hint="default" w:ascii="宋体" w:hAnsi="宋体" w:eastAsia="宋体" w:cs="宋体"/>
          <w:b w:val="0"/>
          <w:bCs w:val="0"/>
          <w:kern w:val="0"/>
          <w:sz w:val="24"/>
          <w:szCs w:val="22"/>
          <w:highlight w:val="none"/>
          <w:lang w:val="en-US" w:eastAsia="zh-CN" w:bidi="ar"/>
        </w:rPr>
      </w:pPr>
      <w:r>
        <w:rPr>
          <w:rFonts w:hint="eastAsia" w:ascii="宋体" w:hAnsi="宋体" w:eastAsia="宋体" w:cs="宋体"/>
          <w:b w:val="0"/>
          <w:bCs w:val="0"/>
          <w:kern w:val="0"/>
          <w:sz w:val="24"/>
          <w:szCs w:val="22"/>
          <w:highlight w:val="none"/>
          <w:lang w:bidi="ar"/>
        </w:rPr>
        <w:t>（</w:t>
      </w:r>
      <w:r>
        <w:rPr>
          <w:rFonts w:hint="eastAsia" w:ascii="宋体" w:hAnsi="宋体" w:eastAsia="宋体" w:cs="宋体"/>
          <w:b w:val="0"/>
          <w:bCs w:val="0"/>
          <w:kern w:val="0"/>
          <w:sz w:val="24"/>
          <w:szCs w:val="22"/>
          <w:highlight w:val="none"/>
          <w:lang w:val="en-US" w:eastAsia="zh-CN" w:bidi="ar"/>
        </w:rPr>
        <w:t>三</w:t>
      </w:r>
      <w:r>
        <w:rPr>
          <w:rFonts w:hint="eastAsia" w:ascii="宋体" w:hAnsi="宋体" w:eastAsia="宋体" w:cs="宋体"/>
          <w:b w:val="0"/>
          <w:bCs w:val="0"/>
          <w:kern w:val="0"/>
          <w:sz w:val="24"/>
          <w:szCs w:val="22"/>
          <w:highlight w:val="none"/>
          <w:lang w:bidi="ar"/>
        </w:rPr>
        <w:t>）</w:t>
      </w:r>
      <w:r>
        <w:rPr>
          <w:rFonts w:hint="eastAsia" w:ascii="宋体" w:hAnsi="宋体" w:eastAsia="宋体" w:cs="宋体"/>
          <w:b w:val="0"/>
          <w:bCs w:val="0"/>
          <w:kern w:val="0"/>
          <w:sz w:val="24"/>
          <w:szCs w:val="22"/>
          <w:highlight w:val="none"/>
          <w:lang w:val="en-US" w:eastAsia="zh-CN" w:bidi="ar"/>
        </w:rPr>
        <w:t>验收服务标准</w:t>
      </w:r>
    </w:p>
    <w:p w14:paraId="3D6779CF">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中标人</w:t>
      </w:r>
      <w:r>
        <w:rPr>
          <w:rFonts w:hint="eastAsia" w:ascii="宋体" w:hAnsi="宋体" w:eastAsia="宋体" w:cs="宋体"/>
          <w:bCs/>
          <w:sz w:val="24"/>
          <w:highlight w:val="none"/>
        </w:rPr>
        <w:t>所提供资源应满足招标文件及相关合同规定的要求。保证合同期内系统安全稳定运行，不因硬件故障导致服务中断12小时。服务期满后30个工作日开始对合同项目进行验收。</w:t>
      </w:r>
      <w:r>
        <w:rPr>
          <w:rFonts w:hint="eastAsia" w:ascii="宋体" w:hAnsi="宋体" w:eastAsia="宋体" w:cs="宋体"/>
          <w:sz w:val="24"/>
          <w:highlight w:val="none"/>
        </w:rPr>
        <w:t>中标人</w:t>
      </w:r>
      <w:r>
        <w:rPr>
          <w:rFonts w:hint="eastAsia" w:ascii="宋体" w:hAnsi="宋体" w:eastAsia="宋体" w:cs="宋体"/>
          <w:bCs/>
          <w:sz w:val="24"/>
          <w:highlight w:val="none"/>
        </w:rPr>
        <w:t>应当在采购人指定的验收日前向采购人提交验收报告。验收报告的内容包括但不限于，合同规定的各项服务清单，各系统设备运行情况。</w:t>
      </w:r>
    </w:p>
    <w:p w14:paraId="621316E7">
      <w:pPr>
        <w:adjustRightInd w:val="0"/>
        <w:spacing w:line="360" w:lineRule="auto"/>
        <w:ind w:firstLine="480" w:firstLineChars="200"/>
        <w:jc w:val="left"/>
        <w:textAlignment w:val="baseline"/>
        <w:rPr>
          <w:rFonts w:hint="eastAsia" w:ascii="宋体" w:hAnsi="宋体" w:eastAsia="宋体" w:cs="宋体"/>
          <w:b w:val="0"/>
          <w:bCs w:val="0"/>
          <w:kern w:val="0"/>
          <w:sz w:val="24"/>
          <w:szCs w:val="22"/>
          <w:highlight w:val="none"/>
          <w:lang w:val="en-US" w:eastAsia="zh-CN" w:bidi="ar"/>
        </w:rPr>
      </w:pPr>
      <w:r>
        <w:rPr>
          <w:rFonts w:hint="eastAsia" w:ascii="宋体" w:hAnsi="宋体" w:eastAsia="宋体" w:cs="宋体"/>
          <w:b w:val="0"/>
          <w:bCs w:val="0"/>
          <w:kern w:val="0"/>
          <w:sz w:val="24"/>
          <w:szCs w:val="22"/>
          <w:highlight w:val="none"/>
          <w:lang w:val="en-US" w:eastAsia="zh-CN" w:bidi="ar"/>
        </w:rPr>
        <w:t>（四）服务费用及支付方式</w:t>
      </w:r>
    </w:p>
    <w:p w14:paraId="0C7588E7">
      <w:pPr>
        <w:numPr>
          <w:ilvl w:val="-1"/>
          <w:numId w:val="0"/>
        </w:numPr>
        <w:spacing w:line="360" w:lineRule="auto"/>
        <w:ind w:left="0" w:leftChars="0" w:firstLine="480" w:firstLineChars="200"/>
        <w:rPr>
          <w:rFonts w:hint="eastAsia" w:ascii="宋体" w:hAnsi="宋体" w:cs="宋体"/>
          <w:bCs w:val="0"/>
          <w:sz w:val="24"/>
          <w:highlight w:val="none"/>
        </w:rPr>
      </w:pPr>
      <w:r>
        <w:rPr>
          <w:rFonts w:hint="eastAsia" w:ascii="宋体" w:hAnsi="宋体" w:cs="宋体"/>
          <w:bCs w:val="0"/>
          <w:sz w:val="24"/>
          <w:highlight w:val="none"/>
        </w:rPr>
        <w:t>1、本合同服务费用共计人民币小写：</w:t>
      </w:r>
      <w:r>
        <w:rPr>
          <w:rFonts w:hint="eastAsia" w:ascii="宋体" w:hAnsi="宋体" w:cs="宋体"/>
          <w:bCs w:val="0"/>
          <w:sz w:val="24"/>
          <w:highlight w:val="none"/>
          <w:lang w:val="en-US" w:eastAsia="zh-CN"/>
        </w:rPr>
        <w:t xml:space="preserve">    </w:t>
      </w:r>
      <w:r>
        <w:rPr>
          <w:rFonts w:hint="eastAsia" w:ascii="宋体" w:hAnsi="宋体" w:cs="宋体"/>
          <w:bCs w:val="0"/>
          <w:sz w:val="24"/>
          <w:highlight w:val="none"/>
        </w:rPr>
        <w:t>元，大写：</w:t>
      </w:r>
      <w:r>
        <w:rPr>
          <w:rFonts w:hint="eastAsia" w:ascii="宋体" w:hAnsi="宋体" w:cs="宋体"/>
          <w:bCs w:val="0"/>
          <w:sz w:val="24"/>
          <w:highlight w:val="none"/>
          <w:lang w:val="en-US" w:eastAsia="zh-CN"/>
        </w:rPr>
        <w:t xml:space="preserve">    </w:t>
      </w:r>
      <w:r>
        <w:rPr>
          <w:rFonts w:hint="eastAsia" w:ascii="宋体" w:hAnsi="宋体" w:cs="宋体"/>
          <w:bCs w:val="0"/>
          <w:sz w:val="24"/>
          <w:highlight w:val="none"/>
        </w:rPr>
        <w:t>，本合同服务费已经包含乙方完成本合同项下服务的全部费用，除前述款项外，甲方不再支付其他任何费用。</w:t>
      </w:r>
    </w:p>
    <w:p w14:paraId="4B608312">
      <w:pPr>
        <w:numPr>
          <w:ilvl w:val="-1"/>
          <w:numId w:val="0"/>
        </w:numPr>
        <w:spacing w:line="360" w:lineRule="auto"/>
        <w:ind w:left="0" w:leftChars="0" w:firstLine="480" w:firstLineChars="200"/>
        <w:rPr>
          <w:rFonts w:hint="eastAsia" w:ascii="宋体" w:hAnsi="宋体" w:cs="宋体"/>
          <w:bCs w:val="0"/>
          <w:sz w:val="24"/>
          <w:highlight w:val="none"/>
        </w:rPr>
      </w:pPr>
      <w:r>
        <w:rPr>
          <w:rFonts w:hint="eastAsia" w:ascii="宋体" w:hAnsi="宋体" w:cs="宋体"/>
          <w:bCs w:val="0"/>
          <w:sz w:val="24"/>
          <w:highlight w:val="none"/>
        </w:rPr>
        <w:t>2、甲方应于本合同签订且</w:t>
      </w:r>
      <w:r>
        <w:rPr>
          <w:rFonts w:hint="eastAsia" w:ascii="宋体" w:hAnsi="宋体" w:cs="宋体"/>
          <w:bCs w:val="0"/>
          <w:sz w:val="24"/>
          <w:highlight w:val="none"/>
          <w:lang w:eastAsia="zh-CN"/>
        </w:rPr>
        <w:t>本合同进入服务期后，</w:t>
      </w:r>
      <w:r>
        <w:rPr>
          <w:rFonts w:hint="eastAsia" w:ascii="宋体" w:hAnsi="宋体" w:cs="宋体"/>
          <w:bCs w:val="0"/>
          <w:sz w:val="24"/>
          <w:highlight w:val="none"/>
        </w:rPr>
        <w:t>财政经费下达后1</w:t>
      </w:r>
      <w:r>
        <w:rPr>
          <w:rFonts w:hint="eastAsia" w:ascii="宋体" w:hAnsi="宋体" w:cs="宋体"/>
          <w:bCs w:val="0"/>
          <w:sz w:val="24"/>
          <w:highlight w:val="none"/>
          <w:lang w:val="en-US" w:eastAsia="zh-CN"/>
        </w:rPr>
        <w:t>0</w:t>
      </w:r>
      <w:r>
        <w:rPr>
          <w:rFonts w:hint="eastAsia" w:ascii="宋体" w:hAnsi="宋体" w:cs="宋体"/>
          <w:bCs w:val="0"/>
          <w:sz w:val="24"/>
          <w:highlight w:val="none"/>
        </w:rPr>
        <w:t>个工作日内，向乙方支付合同服务费的60%，金额为人民币小写：</w:t>
      </w:r>
      <w:r>
        <w:rPr>
          <w:rFonts w:hint="eastAsia" w:ascii="宋体" w:hAnsi="宋体" w:cs="宋体"/>
          <w:bCs w:val="0"/>
          <w:sz w:val="24"/>
          <w:highlight w:val="none"/>
          <w:u w:val="none"/>
          <w:lang w:val="en-US" w:eastAsia="zh-CN"/>
        </w:rPr>
        <w:t xml:space="preserve">     </w:t>
      </w:r>
      <w:r>
        <w:rPr>
          <w:rFonts w:hint="eastAsia" w:ascii="宋体" w:hAnsi="宋体" w:cs="宋体"/>
          <w:bCs w:val="0"/>
          <w:sz w:val="24"/>
          <w:highlight w:val="none"/>
        </w:rPr>
        <w:t>元，大写：</w:t>
      </w:r>
      <w:r>
        <w:rPr>
          <w:rFonts w:hint="eastAsia" w:ascii="宋体" w:hAnsi="宋体" w:cs="宋体"/>
          <w:bCs w:val="0"/>
          <w:sz w:val="24"/>
          <w:highlight w:val="none"/>
          <w:lang w:val="en-US" w:eastAsia="zh-CN"/>
        </w:rPr>
        <w:t xml:space="preserve">     </w:t>
      </w:r>
      <w:r>
        <w:rPr>
          <w:rFonts w:hint="eastAsia" w:ascii="宋体" w:hAnsi="宋体" w:cs="宋体"/>
          <w:bCs w:val="0"/>
          <w:sz w:val="24"/>
          <w:highlight w:val="none"/>
        </w:rPr>
        <w:t>，</w:t>
      </w:r>
    </w:p>
    <w:p w14:paraId="24F202B0">
      <w:pPr>
        <w:numPr>
          <w:ilvl w:val="-1"/>
          <w:numId w:val="0"/>
        </w:numPr>
        <w:spacing w:line="360" w:lineRule="auto"/>
        <w:ind w:left="0" w:leftChars="0" w:firstLine="480" w:firstLineChars="200"/>
        <w:rPr>
          <w:rFonts w:hint="eastAsia" w:ascii="宋体" w:hAnsi="宋体" w:cs="宋体"/>
          <w:bCs w:val="0"/>
          <w:sz w:val="24"/>
          <w:highlight w:val="none"/>
        </w:rPr>
      </w:pPr>
      <w:r>
        <w:rPr>
          <w:rFonts w:hint="eastAsia" w:ascii="宋体" w:hAnsi="宋体" w:cs="宋体"/>
          <w:bCs w:val="0"/>
          <w:sz w:val="24"/>
          <w:highlight w:val="none"/>
        </w:rPr>
        <w:t>3、甲方应于本合同服务期满</w:t>
      </w:r>
      <w:r>
        <w:rPr>
          <w:rFonts w:hint="eastAsia" w:ascii="宋体" w:hAnsi="宋体" w:cs="宋体"/>
          <w:bCs w:val="0"/>
          <w:sz w:val="24"/>
          <w:highlight w:val="none"/>
          <w:lang w:val="en-US" w:eastAsia="zh-CN"/>
        </w:rPr>
        <w:t>9</w:t>
      </w:r>
      <w:r>
        <w:rPr>
          <w:rFonts w:hint="eastAsia" w:ascii="宋体" w:hAnsi="宋体" w:cs="宋体"/>
          <w:bCs w:val="0"/>
          <w:sz w:val="24"/>
          <w:highlight w:val="none"/>
        </w:rPr>
        <w:t>个月且财政经费下达后1</w:t>
      </w:r>
      <w:r>
        <w:rPr>
          <w:rFonts w:hint="eastAsia" w:ascii="宋体" w:hAnsi="宋体" w:cs="宋体"/>
          <w:bCs w:val="0"/>
          <w:sz w:val="24"/>
          <w:highlight w:val="none"/>
          <w:lang w:val="en-US" w:eastAsia="zh-CN"/>
        </w:rPr>
        <w:t>0</w:t>
      </w:r>
      <w:r>
        <w:rPr>
          <w:rFonts w:hint="eastAsia" w:ascii="宋体" w:hAnsi="宋体" w:cs="宋体"/>
          <w:bCs w:val="0"/>
          <w:sz w:val="24"/>
          <w:highlight w:val="none"/>
        </w:rPr>
        <w:t>个工作日内，向乙方支付合同服务费的30%，金额为人民币小写：</w:t>
      </w:r>
      <w:r>
        <w:rPr>
          <w:rFonts w:hint="eastAsia" w:ascii="宋体" w:hAnsi="宋体" w:cs="宋体"/>
          <w:bCs w:val="0"/>
          <w:sz w:val="24"/>
          <w:highlight w:val="none"/>
          <w:u w:val="none"/>
          <w:lang w:val="en-US" w:eastAsia="zh-CN"/>
        </w:rPr>
        <w:t xml:space="preserve">    </w:t>
      </w:r>
      <w:r>
        <w:rPr>
          <w:rFonts w:hint="eastAsia" w:ascii="宋体" w:hAnsi="宋体" w:cs="宋体"/>
          <w:bCs w:val="0"/>
          <w:sz w:val="24"/>
          <w:highlight w:val="none"/>
        </w:rPr>
        <w:t>元，大写：</w:t>
      </w:r>
      <w:r>
        <w:rPr>
          <w:rFonts w:hint="eastAsia" w:ascii="宋体" w:hAnsi="宋体" w:cs="宋体"/>
          <w:bCs w:val="0"/>
          <w:sz w:val="24"/>
          <w:highlight w:val="none"/>
          <w:lang w:val="en-US" w:eastAsia="zh-CN"/>
        </w:rPr>
        <w:t xml:space="preserve">    </w:t>
      </w:r>
      <w:r>
        <w:rPr>
          <w:rFonts w:hint="eastAsia" w:ascii="宋体" w:hAnsi="宋体" w:cs="宋体"/>
          <w:bCs w:val="0"/>
          <w:sz w:val="24"/>
          <w:highlight w:val="none"/>
        </w:rPr>
        <w:t>，</w:t>
      </w:r>
    </w:p>
    <w:p w14:paraId="28543FA9">
      <w:pPr>
        <w:numPr>
          <w:ilvl w:val="-1"/>
          <w:numId w:val="0"/>
        </w:numPr>
        <w:spacing w:line="360" w:lineRule="auto"/>
        <w:ind w:left="0" w:leftChars="0" w:firstLine="480" w:firstLineChars="200"/>
        <w:rPr>
          <w:rFonts w:hint="eastAsia" w:ascii="宋体" w:hAnsi="宋体" w:cs="宋体"/>
          <w:bCs w:val="0"/>
          <w:sz w:val="24"/>
          <w:highlight w:val="none"/>
        </w:rPr>
      </w:pPr>
      <w:r>
        <w:rPr>
          <w:rFonts w:hint="eastAsia" w:ascii="宋体" w:hAnsi="宋体" w:cs="宋体"/>
          <w:bCs w:val="0"/>
          <w:sz w:val="24"/>
          <w:highlight w:val="none"/>
        </w:rPr>
        <w:t>4、合同服务到期后，通过项目验收且财政经费下达后1</w:t>
      </w:r>
      <w:r>
        <w:rPr>
          <w:rFonts w:hint="eastAsia" w:ascii="宋体" w:hAnsi="宋体" w:cs="宋体"/>
          <w:bCs w:val="0"/>
          <w:sz w:val="24"/>
          <w:highlight w:val="none"/>
          <w:lang w:val="en-US" w:eastAsia="zh-CN"/>
        </w:rPr>
        <w:t>0</w:t>
      </w:r>
      <w:r>
        <w:rPr>
          <w:rFonts w:hint="eastAsia" w:ascii="宋体" w:hAnsi="宋体" w:cs="宋体"/>
          <w:bCs w:val="0"/>
          <w:sz w:val="24"/>
          <w:highlight w:val="none"/>
        </w:rPr>
        <w:t>个工作日内，甲方向乙方支付合同服务费的10%，金额为人民币小写：</w:t>
      </w:r>
      <w:r>
        <w:rPr>
          <w:rFonts w:hint="eastAsia" w:ascii="宋体" w:hAnsi="宋体" w:cs="宋体"/>
          <w:bCs w:val="0"/>
          <w:sz w:val="24"/>
          <w:highlight w:val="none"/>
          <w:u w:val="none"/>
          <w:lang w:val="en-US" w:eastAsia="zh-CN"/>
        </w:rPr>
        <w:t xml:space="preserve">   </w:t>
      </w:r>
      <w:r>
        <w:rPr>
          <w:rFonts w:hint="eastAsia" w:ascii="宋体" w:hAnsi="宋体" w:cs="宋体"/>
          <w:bCs w:val="0"/>
          <w:sz w:val="24"/>
          <w:highlight w:val="none"/>
        </w:rPr>
        <w:t>元，大写：</w:t>
      </w:r>
      <w:r>
        <w:rPr>
          <w:rFonts w:hint="eastAsia" w:ascii="宋体" w:hAnsi="宋体" w:cs="宋体"/>
          <w:bCs w:val="0"/>
          <w:sz w:val="24"/>
          <w:highlight w:val="none"/>
          <w:lang w:val="en-US" w:eastAsia="zh-CN"/>
        </w:rPr>
        <w:t xml:space="preserve">   </w:t>
      </w:r>
      <w:r>
        <w:rPr>
          <w:rFonts w:hint="eastAsia" w:ascii="宋体" w:hAnsi="宋体" w:cs="宋体"/>
          <w:bCs w:val="0"/>
          <w:sz w:val="24"/>
          <w:highlight w:val="none"/>
        </w:rPr>
        <w:t>，</w:t>
      </w:r>
    </w:p>
    <w:p w14:paraId="6727AB86">
      <w:pPr>
        <w:spacing w:line="360" w:lineRule="auto"/>
        <w:ind w:left="0" w:leftChars="0" w:firstLine="480" w:firstLineChars="200"/>
        <w:rPr>
          <w:rFonts w:hint="eastAsia" w:ascii="宋体" w:hAnsi="宋体" w:cs="宋体"/>
          <w:bCs w:val="0"/>
          <w:sz w:val="24"/>
          <w:highlight w:val="none"/>
        </w:rPr>
      </w:pPr>
      <w:r>
        <w:rPr>
          <w:rFonts w:hint="eastAsia" w:ascii="宋体" w:hAnsi="宋体" w:cs="宋体"/>
          <w:bCs w:val="0"/>
          <w:sz w:val="24"/>
          <w:highlight w:val="none"/>
        </w:rPr>
        <w:t>5、乙方在甲方付款前需向甲方提供等额的法定正规发票，如乙方未向甲方提供合格发票，甲方有权延迟付款，且不承担违约责任。</w:t>
      </w:r>
    </w:p>
    <w:p w14:paraId="4A7CD8E5">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bidi="ar"/>
        </w:rPr>
        <w:t>三、技术要求</w:t>
      </w:r>
    </w:p>
    <w:p w14:paraId="17CED4EA">
      <w:pPr>
        <w:numPr>
          <w:ilvl w:val="0"/>
          <w:numId w:val="0"/>
        </w:numPr>
        <w:adjustRightInd w:val="0"/>
        <w:spacing w:line="360" w:lineRule="auto"/>
        <w:ind w:left="0" w:leftChars="0" w:firstLine="480" w:firstLineChars="200"/>
        <w:jc w:val="left"/>
        <w:textAlignment w:val="baseline"/>
        <w:rPr>
          <w:rFonts w:hint="eastAsia" w:ascii="宋体" w:hAnsi="宋体" w:cs="宋体"/>
          <w:b w:val="0"/>
          <w:bCs w:val="0"/>
          <w:kern w:val="0"/>
          <w:sz w:val="24"/>
          <w:szCs w:val="22"/>
          <w:highlight w:val="none"/>
          <w:lang w:val="en-US" w:eastAsia="zh-CN" w:bidi="ar"/>
        </w:rPr>
      </w:pPr>
      <w:r>
        <w:rPr>
          <w:rFonts w:hint="eastAsia" w:ascii="宋体" w:hAnsi="宋体" w:eastAsia="宋体" w:cs="宋体"/>
          <w:b w:val="0"/>
          <w:bCs w:val="0"/>
          <w:kern w:val="0"/>
          <w:sz w:val="24"/>
          <w:szCs w:val="22"/>
          <w:highlight w:val="none"/>
          <w:lang w:val="en-US" w:eastAsia="zh-CN" w:bidi="ar"/>
        </w:rPr>
        <w:t>（</w:t>
      </w:r>
      <w:r>
        <w:rPr>
          <w:rFonts w:hint="eastAsia" w:ascii="宋体" w:hAnsi="宋体" w:cs="宋体"/>
          <w:b w:val="0"/>
          <w:bCs w:val="0"/>
          <w:kern w:val="0"/>
          <w:sz w:val="24"/>
          <w:szCs w:val="22"/>
          <w:highlight w:val="none"/>
          <w:lang w:val="en-US" w:eastAsia="zh-CN" w:bidi="ar"/>
        </w:rPr>
        <w:t>一）政务云基础服务</w:t>
      </w:r>
    </w:p>
    <w:tbl>
      <w:tblPr>
        <w:tblStyle w:val="6"/>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533"/>
        <w:gridCol w:w="3329"/>
        <w:gridCol w:w="847"/>
        <w:gridCol w:w="693"/>
        <w:gridCol w:w="668"/>
        <w:gridCol w:w="818"/>
      </w:tblGrid>
      <w:tr w14:paraId="6332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EC6196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服务类别</w:t>
            </w:r>
          </w:p>
        </w:tc>
        <w:tc>
          <w:tcPr>
            <w:tcW w:w="153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E24FC1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服务子类</w:t>
            </w:r>
          </w:p>
        </w:tc>
        <w:tc>
          <w:tcPr>
            <w:tcW w:w="332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A6129D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服务项</w:t>
            </w:r>
          </w:p>
        </w:tc>
        <w:tc>
          <w:tcPr>
            <w:tcW w:w="84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06ECDB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计价单位</w:t>
            </w:r>
          </w:p>
        </w:tc>
        <w:tc>
          <w:tcPr>
            <w:tcW w:w="6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9DBCEB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报价单位</w:t>
            </w:r>
          </w:p>
        </w:tc>
        <w:tc>
          <w:tcPr>
            <w:tcW w:w="66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F1479D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3AFF76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期限（月）</w:t>
            </w:r>
          </w:p>
        </w:tc>
      </w:tr>
      <w:tr w14:paraId="686A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6BE8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计算服务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D16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平台云主机服务（包含X86、ARM、C86）</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EAE4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vCPU（vCPU ARM架构主频不低于2.4GHz，C86和x86主频不低于2.2GHz，平均虚拟化率，即物理CPU/虚拟CPU≥1/4，虚拟CPU利用率不低于物理CPU的25% ）</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5F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CPU</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33B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2EB83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3770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4CB6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3456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4A106">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356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平台云主机服务（包含X86、ARM、C86）</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C1F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vCPU（vCPU ARM架构主频不低于2.4GHz，C86和x86主频不低于2.2GHz，平均虚拟化率，即物理CPU/虚拟CPU≥1/4，虚拟CPU利用率不低于物理CPU的25% ）</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809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CPU</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B3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F04EB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504</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008EF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372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3B678">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8B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平台云主机服务（包含X86、ARM、C86）</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09E1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内存</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6D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72B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32055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11426</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0C6E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39DD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1B0D5">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C7A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平台云主机服务（包含X86、ARM、C86）</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34D3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内存</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40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9CE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43994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1728</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E82E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438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E3C3A">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9C6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物理服务器租用服务（包含X86、ARM、C86）</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7644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物理服务器配置2：四路每CPU核数≥48 核，主频≥2.6Ghz，256G内存，2块600SAS硬盘，2个HBA卡，2个万兆端口</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86D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台</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FE2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DD2F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0BA8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45E3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9E9DF">
            <w:pPr>
              <w:jc w:val="center"/>
              <w:rPr>
                <w:rFonts w:hint="eastAsia" w:ascii="宋体" w:hAnsi="宋体" w:eastAsia="宋体" w:cs="宋体"/>
                <w:b/>
                <w:bCs/>
                <w:i w:val="0"/>
                <w:iCs w:val="0"/>
                <w:color w:val="000000"/>
                <w:sz w:val="20"/>
                <w:szCs w:val="20"/>
                <w:highlight w:val="none"/>
                <w:u w:val="none"/>
              </w:rPr>
            </w:pPr>
          </w:p>
        </w:tc>
        <w:tc>
          <w:tcPr>
            <w:tcW w:w="15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80E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GPU卡算力服务（适配X86、ARM、C86）</w:t>
            </w:r>
          </w:p>
        </w:tc>
        <w:tc>
          <w:tcPr>
            <w:tcW w:w="3329" w:type="dxa"/>
            <w:tcBorders>
              <w:top w:val="single" w:color="000000" w:sz="4" w:space="0"/>
              <w:left w:val="single" w:color="000000" w:sz="4" w:space="0"/>
              <w:bottom w:val="single" w:color="000000" w:sz="4" w:space="0"/>
              <w:right w:val="single" w:color="000000" w:sz="4" w:space="0"/>
            </w:tcBorders>
            <w:noWrap w:val="0"/>
            <w:vAlign w:val="center"/>
          </w:tcPr>
          <w:p w14:paraId="0F17332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GPU显存（需同时租用算力资源、云主机或物理服务器资源，联合使用）</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74B30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GB</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92BED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9"/>
                <w:highlight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5166B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1024</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FC972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5779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C34FC">
            <w:pPr>
              <w:jc w:val="center"/>
              <w:rPr>
                <w:rFonts w:hint="eastAsia" w:ascii="宋体" w:hAnsi="宋体" w:eastAsia="宋体" w:cs="宋体"/>
                <w:b/>
                <w:bCs/>
                <w:i w:val="0"/>
                <w:iCs w:val="0"/>
                <w:color w:val="000000"/>
                <w:sz w:val="20"/>
                <w:szCs w:val="20"/>
                <w:highlight w:val="none"/>
                <w:u w:val="none"/>
              </w:rPr>
            </w:pPr>
          </w:p>
        </w:tc>
        <w:tc>
          <w:tcPr>
            <w:tcW w:w="15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17E0D">
            <w:pPr>
              <w:jc w:val="center"/>
              <w:rPr>
                <w:rFonts w:hint="eastAsia" w:ascii="宋体" w:hAnsi="宋体" w:eastAsia="宋体" w:cs="宋体"/>
                <w:i w:val="0"/>
                <w:iCs w:val="0"/>
                <w:color w:val="000000"/>
                <w:sz w:val="20"/>
                <w:szCs w:val="20"/>
                <w:highlight w:val="none"/>
                <w:u w:val="none"/>
              </w:rPr>
            </w:pPr>
          </w:p>
        </w:tc>
        <w:tc>
          <w:tcPr>
            <w:tcW w:w="3329" w:type="dxa"/>
            <w:tcBorders>
              <w:top w:val="single" w:color="000000" w:sz="4" w:space="0"/>
              <w:left w:val="single" w:color="000000" w:sz="4" w:space="0"/>
              <w:bottom w:val="single" w:color="000000" w:sz="4" w:space="0"/>
              <w:right w:val="single" w:color="000000" w:sz="4" w:space="0"/>
            </w:tcBorders>
            <w:noWrap w:val="0"/>
            <w:vAlign w:val="center"/>
          </w:tcPr>
          <w:p w14:paraId="229783E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半精度浮点运算能力（需同时租用GPU显存、云主机或物理服务器资源，联合使用）</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79F0C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 TFLOPS</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BAF4E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9"/>
                <w:highlight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82A54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3712</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E98E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A59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8BCC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存储服务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CAF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普通性能存储</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69A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普通存储（单盘技术指标: 单盘IOPS 2000-5000）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85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3C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7B3A1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AD13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5B8D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CA9A2">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98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普通性能存储</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B65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普通存储（单盘技术指标: 单盘IOPS 2000-5000）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CE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42B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503BA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05BC0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0A0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F3805">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A4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高性能存储</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18D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高性能存储（单盘技术指标：单盘IOPS 10000-25000）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5F1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88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FE23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3999.34</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53A8D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4B87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9D872">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62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高性能存储</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E61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高性能存储（单盘技术指标：单盘IOPS 10000-25000）</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3C6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7F7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58E46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259.72</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10574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72F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BD428">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2C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静态存储</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D28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提供大容量、高可靠的数据存储服务，具备PB级线性扩展能力</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85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TB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6D0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74BC8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4962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0ABC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0B25F">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614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本地备份服务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901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通过备份策略实现文件、操作系统、数据库的本地备份（不包含备份存储空间费用）</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5C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9F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871CB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3424D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35F0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05016">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97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本地备份服务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E1D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通过备份策略实现文件、操作系统、数据库的本地备份（不包含备份存储空间费用）</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E3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 GB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6F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507DC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7093B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4025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9152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网络服务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82B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互联网链路服务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759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互联网链路带宽</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EE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Mb</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D4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23E9D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8EA4E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28DB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C3B60">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833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互联网链路服务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787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互联网IP地址租用服务、并提供备案服务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479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IP</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6D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3C857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2D1F3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63BF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DD7C9">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CCB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主机负载均衡服务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9FA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主机负载均衡服务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4CD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IP（内网）</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A84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3B6641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6E60C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24DB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960D0">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386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远程接入服务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D4E6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每个账号结合身份验证通过VPN远程接入堡垒机进行维护</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3E0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1账号</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F4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4B05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05B8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20C1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E07BE">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0BF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远程接入服务</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007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每个账号结合身份验证通过VPN远程接入堡垒机进行维护</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DA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1账号</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FE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41D73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1AC29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16E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9C177">
            <w:pPr>
              <w:jc w:val="center"/>
              <w:rPr>
                <w:rFonts w:hint="eastAsia" w:ascii="宋体" w:hAnsi="宋体" w:eastAsia="宋体" w:cs="宋体"/>
                <w:b/>
                <w:bCs/>
                <w:i w:val="0"/>
                <w:iCs w:val="0"/>
                <w:color w:val="000000"/>
                <w:sz w:val="20"/>
                <w:szCs w:val="20"/>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C3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Web 应用防火墙（WAF）</w:t>
            </w:r>
          </w:p>
        </w:tc>
        <w:tc>
          <w:tcPr>
            <w:tcW w:w="33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AA4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针对网站及 Web应用系统提供应用层安全防护，支持各类 SQL注入、XSS 攻击、网页木马、WEBSHELL 等 Web威胁防护 （200Mbps）</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37F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套</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C62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16F68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9EAD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bl>
    <w:p w14:paraId="57E269C5">
      <w:pPr>
        <w:adjustRightInd w:val="0"/>
        <w:spacing w:line="360" w:lineRule="auto"/>
        <w:ind w:firstLine="482" w:firstLineChars="200"/>
        <w:jc w:val="left"/>
        <w:textAlignment w:val="baseline"/>
        <w:rPr>
          <w:rFonts w:hint="default" w:ascii="宋体" w:hAnsi="宋体" w:cs="宋体"/>
          <w:b/>
          <w:bCs/>
          <w:kern w:val="0"/>
          <w:sz w:val="24"/>
          <w:szCs w:val="22"/>
          <w:highlight w:val="none"/>
          <w:lang w:val="en-US" w:eastAsia="zh-CN" w:bidi="ar"/>
        </w:rPr>
      </w:pPr>
    </w:p>
    <w:p w14:paraId="720DECAC">
      <w:pPr>
        <w:numPr>
          <w:ilvl w:val="0"/>
          <w:numId w:val="0"/>
        </w:numPr>
        <w:adjustRightInd w:val="0"/>
        <w:spacing w:line="360" w:lineRule="auto"/>
        <w:ind w:left="0" w:leftChars="0" w:firstLine="480" w:firstLineChars="200"/>
        <w:jc w:val="left"/>
        <w:textAlignment w:val="baseline"/>
        <w:rPr>
          <w:rFonts w:ascii="宋体" w:hAnsi="宋体" w:cs="宋体"/>
          <w:b w:val="0"/>
          <w:bCs w:val="0"/>
          <w:kern w:val="0"/>
          <w:sz w:val="24"/>
          <w:szCs w:val="22"/>
          <w:highlight w:val="none"/>
          <w:lang w:bidi="ar"/>
        </w:rPr>
      </w:pPr>
      <w:r>
        <w:rPr>
          <w:rFonts w:hint="eastAsia" w:ascii="宋体" w:hAnsi="宋体" w:eastAsia="宋体" w:cs="宋体"/>
          <w:b w:val="0"/>
          <w:bCs w:val="0"/>
          <w:kern w:val="0"/>
          <w:sz w:val="24"/>
          <w:szCs w:val="22"/>
          <w:highlight w:val="none"/>
          <w:lang w:val="en-US" w:eastAsia="zh-CN" w:bidi="ar"/>
        </w:rPr>
        <w:t>（</w:t>
      </w:r>
      <w:r>
        <w:rPr>
          <w:rFonts w:hint="eastAsia" w:ascii="宋体" w:hAnsi="宋体" w:cs="宋体"/>
          <w:b w:val="0"/>
          <w:bCs w:val="0"/>
          <w:kern w:val="0"/>
          <w:sz w:val="24"/>
          <w:szCs w:val="22"/>
          <w:highlight w:val="none"/>
          <w:lang w:val="en-US" w:eastAsia="zh-CN" w:bidi="ar"/>
        </w:rPr>
        <w:t>二</w:t>
      </w:r>
      <w:r>
        <w:rPr>
          <w:rFonts w:hint="eastAsia" w:ascii="宋体" w:hAnsi="宋体" w:eastAsia="宋体" w:cs="宋体"/>
          <w:b w:val="0"/>
          <w:bCs w:val="0"/>
          <w:kern w:val="0"/>
          <w:sz w:val="24"/>
          <w:szCs w:val="22"/>
          <w:highlight w:val="none"/>
          <w:lang w:val="en-US" w:eastAsia="zh-CN" w:bidi="ar"/>
        </w:rPr>
        <w:t>）</w:t>
      </w:r>
      <w:r>
        <w:rPr>
          <w:rFonts w:hint="eastAsia" w:ascii="宋体" w:hAnsi="宋体" w:cs="宋体"/>
          <w:b w:val="0"/>
          <w:bCs w:val="0"/>
          <w:kern w:val="0"/>
          <w:sz w:val="24"/>
          <w:szCs w:val="22"/>
          <w:highlight w:val="none"/>
          <w:lang w:bidi="ar"/>
        </w:rPr>
        <w:t>采购目标</w:t>
      </w:r>
    </w:p>
    <w:p w14:paraId="4C3FF201">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kern w:val="44"/>
          <w:sz w:val="24"/>
          <w:highlight w:val="none"/>
        </w:rPr>
        <w:t>本项目的总体目标是通过租用政务云平台基础服务，</w:t>
      </w:r>
      <w:r>
        <w:rPr>
          <w:rFonts w:hint="eastAsia" w:ascii="宋体" w:hAnsi="宋体" w:eastAsia="宋体" w:cs="宋体"/>
          <w:kern w:val="44"/>
          <w:sz w:val="24"/>
          <w:highlight w:val="none"/>
          <w:lang w:val="en-US" w:eastAsia="zh-CN"/>
        </w:rPr>
        <w:t>对</w:t>
      </w:r>
      <w:r>
        <w:rPr>
          <w:rFonts w:hint="eastAsia" w:ascii="宋体" w:hAnsi="宋体" w:cs="宋体"/>
          <w:kern w:val="0"/>
          <w:sz w:val="24"/>
          <w:szCs w:val="22"/>
          <w:highlight w:val="none"/>
          <w:lang w:eastAsia="zh-CN" w:bidi="ar"/>
        </w:rPr>
        <w:t>北京市应急指挥保障中心业务系统</w:t>
      </w:r>
      <w:r>
        <w:rPr>
          <w:rFonts w:hint="eastAsia" w:ascii="宋体" w:hAnsi="宋体" w:eastAsia="宋体" w:cs="宋体"/>
          <w:kern w:val="44"/>
          <w:sz w:val="24"/>
          <w:highlight w:val="none"/>
        </w:rPr>
        <w:t>运行环境进行持续优化，提供可靠、稳定、安全的政务云基础服务，具体包括：</w:t>
      </w:r>
    </w:p>
    <w:p w14:paraId="1C3415C9">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kern w:val="44"/>
          <w:sz w:val="24"/>
          <w:highlight w:val="none"/>
        </w:rPr>
        <w:t>1、提供政务云基础服务，包括计算服务、存储服务和网络服务等基础环境日常维护、应急响应等工作。</w:t>
      </w:r>
    </w:p>
    <w:p w14:paraId="22786D08">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kern w:val="44"/>
          <w:sz w:val="24"/>
          <w:highlight w:val="none"/>
        </w:rPr>
        <w:t>2、提供7*24 运维保障，做好重大活动和节假日应急值守保障服务，确保各系统在政务云环境中可靠稳定运行。</w:t>
      </w:r>
    </w:p>
    <w:p w14:paraId="5E840BCC">
      <w:pPr>
        <w:tabs>
          <w:tab w:val="left" w:pos="567"/>
        </w:tabs>
        <w:spacing w:line="360" w:lineRule="auto"/>
        <w:ind w:left="31" w:firstLine="420"/>
        <w:rPr>
          <w:rFonts w:ascii="宋体" w:hAnsi="宋体" w:eastAsia="宋体" w:cs="宋体"/>
          <w:kern w:val="44"/>
          <w:sz w:val="24"/>
          <w:highlight w:val="none"/>
        </w:rPr>
      </w:pPr>
      <w:r>
        <w:rPr>
          <w:rFonts w:hint="eastAsia" w:ascii="宋体" w:hAnsi="宋体" w:eastAsia="宋体" w:cs="宋体"/>
          <w:kern w:val="44"/>
          <w:sz w:val="24"/>
          <w:highlight w:val="none"/>
        </w:rPr>
        <w:t>3、服务期内，</w:t>
      </w:r>
      <w:r>
        <w:rPr>
          <w:rFonts w:hint="eastAsia" w:ascii="宋体" w:hAnsi="宋体" w:eastAsia="宋体" w:cs="宋体"/>
          <w:sz w:val="24"/>
          <w:highlight w:val="none"/>
        </w:rPr>
        <w:t>投标人</w:t>
      </w:r>
      <w:r>
        <w:rPr>
          <w:rFonts w:hint="eastAsia" w:ascii="宋体" w:hAnsi="宋体" w:eastAsia="宋体" w:cs="宋体"/>
          <w:kern w:val="44"/>
          <w:sz w:val="24"/>
          <w:highlight w:val="none"/>
        </w:rPr>
        <w:t>须完成信息系统的日常运维和安全运维服务工作（包括但不限于：云平台服务、日常技术支持、系统日常维护、服务规范、安全及保密要求、响应的及时性），确保入云系统安全、稳定的运行。</w:t>
      </w:r>
    </w:p>
    <w:p w14:paraId="68CA4C10">
      <w:pPr>
        <w:numPr>
          <w:ilvl w:val="0"/>
          <w:numId w:val="0"/>
        </w:numPr>
        <w:adjustRightInd w:val="0"/>
        <w:spacing w:line="360" w:lineRule="auto"/>
        <w:ind w:left="0" w:leftChars="0" w:firstLine="480" w:firstLineChars="200"/>
        <w:jc w:val="left"/>
        <w:textAlignment w:val="baseline"/>
        <w:rPr>
          <w:rFonts w:hint="eastAsia" w:ascii="宋体" w:hAnsi="宋体" w:cs="宋体"/>
          <w:b w:val="0"/>
          <w:bCs w:val="0"/>
          <w:kern w:val="0"/>
          <w:sz w:val="24"/>
          <w:szCs w:val="22"/>
          <w:highlight w:val="none"/>
          <w:lang w:bidi="ar"/>
        </w:rPr>
      </w:pPr>
      <w:r>
        <w:rPr>
          <w:rFonts w:hint="eastAsia" w:ascii="宋体" w:hAnsi="宋体" w:eastAsia="宋体" w:cs="宋体"/>
          <w:b w:val="0"/>
          <w:bCs w:val="0"/>
          <w:kern w:val="0"/>
          <w:sz w:val="24"/>
          <w:szCs w:val="22"/>
          <w:highlight w:val="none"/>
          <w:lang w:val="en-US" w:eastAsia="zh-CN" w:bidi="ar"/>
        </w:rPr>
        <w:t>（</w:t>
      </w:r>
      <w:r>
        <w:rPr>
          <w:rFonts w:hint="eastAsia" w:ascii="宋体" w:hAnsi="宋体" w:cs="宋体"/>
          <w:b w:val="0"/>
          <w:bCs w:val="0"/>
          <w:kern w:val="0"/>
          <w:sz w:val="24"/>
          <w:szCs w:val="22"/>
          <w:highlight w:val="none"/>
          <w:lang w:val="en-US" w:eastAsia="zh-CN" w:bidi="ar"/>
        </w:rPr>
        <w:t>三</w:t>
      </w:r>
      <w:r>
        <w:rPr>
          <w:rFonts w:hint="eastAsia" w:ascii="宋体" w:hAnsi="宋体" w:eastAsia="宋体" w:cs="宋体"/>
          <w:b w:val="0"/>
          <w:bCs w:val="0"/>
          <w:kern w:val="0"/>
          <w:sz w:val="24"/>
          <w:szCs w:val="22"/>
          <w:highlight w:val="none"/>
          <w:lang w:val="en-US" w:eastAsia="zh-CN" w:bidi="ar"/>
        </w:rPr>
        <w:t>）</w:t>
      </w:r>
      <w:r>
        <w:rPr>
          <w:rFonts w:hint="eastAsia" w:ascii="宋体" w:hAnsi="宋体" w:cs="宋体"/>
          <w:b w:val="0"/>
          <w:bCs w:val="0"/>
          <w:kern w:val="0"/>
          <w:sz w:val="24"/>
          <w:szCs w:val="22"/>
          <w:highlight w:val="none"/>
          <w:lang w:val="en-US" w:eastAsia="zh-CN" w:bidi="ar"/>
        </w:rPr>
        <w:t>服务内容</w:t>
      </w:r>
    </w:p>
    <w:p w14:paraId="0EE738E3">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val="en-US" w:eastAsia="zh-CN" w:bidi="ar"/>
        </w:rPr>
        <w:t>1.</w:t>
      </w:r>
      <w:r>
        <w:rPr>
          <w:rFonts w:hint="eastAsia" w:ascii="宋体" w:hAnsi="宋体" w:cs="宋体"/>
          <w:b/>
          <w:bCs/>
          <w:kern w:val="0"/>
          <w:sz w:val="24"/>
          <w:szCs w:val="22"/>
          <w:highlight w:val="none"/>
          <w:lang w:bidi="ar"/>
        </w:rPr>
        <w:t xml:space="preserve">计算服务 </w:t>
      </w:r>
    </w:p>
    <w:p w14:paraId="0FCB188B">
      <w:pPr>
        <w:adjustRightInd w:val="0"/>
        <w:spacing w:line="360" w:lineRule="auto"/>
        <w:ind w:firstLine="480" w:firstLineChars="200"/>
        <w:jc w:val="left"/>
        <w:textAlignment w:val="baseline"/>
        <w:rPr>
          <w:rFonts w:hint="eastAsia" w:ascii="宋体" w:hAnsi="宋体" w:cs="宋体"/>
          <w:b w:val="0"/>
          <w:bCs w:val="0"/>
          <w:kern w:val="0"/>
          <w:sz w:val="24"/>
          <w:szCs w:val="22"/>
          <w:highlight w:val="none"/>
          <w:lang w:bidi="ar"/>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w:t>
      </w:r>
      <w:r>
        <w:rPr>
          <w:rFonts w:hint="eastAsia" w:ascii="宋体" w:hAnsi="宋体" w:eastAsia="宋体" w:cs="宋体"/>
          <w:sz w:val="24"/>
          <w:highlight w:val="none"/>
        </w:rPr>
        <w:t>，</w:t>
      </w:r>
      <w:r>
        <w:rPr>
          <w:rFonts w:hint="eastAsia" w:ascii="宋体" w:hAnsi="宋体" w:cs="宋体"/>
          <w:kern w:val="0"/>
          <w:sz w:val="24"/>
          <w:szCs w:val="22"/>
          <w:highlight w:val="none"/>
          <w:lang w:bidi="ar"/>
        </w:rPr>
        <w:t>提供计算服务，包括：平台云主机服务（包含X86、ARM、C86）</w:t>
      </w:r>
      <w:r>
        <w:rPr>
          <w:rFonts w:hint="eastAsia" w:ascii="宋体" w:hAnsi="宋体" w:cs="宋体"/>
          <w:kern w:val="0"/>
          <w:sz w:val="24"/>
          <w:szCs w:val="22"/>
          <w:highlight w:val="none"/>
          <w:lang w:eastAsia="zh-CN" w:bidi="ar"/>
        </w:rPr>
        <w:t>、</w:t>
      </w:r>
      <w:r>
        <w:rPr>
          <w:rFonts w:hint="eastAsia" w:ascii="宋体" w:hAnsi="宋体" w:cs="宋体"/>
          <w:kern w:val="0"/>
          <w:sz w:val="24"/>
          <w:szCs w:val="22"/>
          <w:highlight w:val="none"/>
          <w:lang w:val="en-US" w:eastAsia="zh-CN" w:bidi="ar"/>
        </w:rPr>
        <w:t>物理服务器租用服务（适配X86、ARM、C86）和GPU卡算力服务（适配X86、ARM、C86）</w:t>
      </w:r>
      <w:r>
        <w:rPr>
          <w:rFonts w:hint="eastAsia" w:ascii="宋体" w:hAnsi="宋体" w:cs="宋体"/>
          <w:kern w:val="0"/>
          <w:sz w:val="24"/>
          <w:szCs w:val="22"/>
          <w:highlight w:val="none"/>
          <w:lang w:bidi="ar"/>
        </w:rPr>
        <w:t>，实现合理的计算资源配置。按照采购人要求对vCPU及内存进行动态调整，自接到工单至完成调整时间不超过4小时。</w:t>
      </w:r>
    </w:p>
    <w:p w14:paraId="2BC207F6">
      <w:pPr>
        <w:adjustRightInd w:val="0"/>
        <w:spacing w:line="360" w:lineRule="auto"/>
        <w:ind w:firstLine="482" w:firstLineChars="200"/>
        <w:jc w:val="left"/>
        <w:textAlignment w:val="baseline"/>
        <w:rPr>
          <w:rFonts w:ascii="宋体" w:hAnsi="宋体" w:cs="宋体"/>
          <w:kern w:val="0"/>
          <w:sz w:val="24"/>
          <w:szCs w:val="22"/>
          <w:highlight w:val="none"/>
          <w:lang w:bidi="ar"/>
        </w:rPr>
      </w:pPr>
      <w:r>
        <w:rPr>
          <w:rFonts w:hint="eastAsia" w:ascii="宋体" w:hAnsi="宋体" w:cs="宋体"/>
          <w:b/>
          <w:bCs/>
          <w:kern w:val="0"/>
          <w:sz w:val="24"/>
          <w:szCs w:val="22"/>
          <w:highlight w:val="none"/>
          <w:lang w:val="en-US" w:eastAsia="zh-CN" w:bidi="ar"/>
        </w:rPr>
        <w:t>2.</w:t>
      </w:r>
      <w:r>
        <w:rPr>
          <w:rFonts w:hint="eastAsia" w:ascii="宋体" w:hAnsi="宋体" w:cs="宋体"/>
          <w:b/>
          <w:bCs/>
          <w:kern w:val="0"/>
          <w:sz w:val="24"/>
          <w:szCs w:val="22"/>
          <w:highlight w:val="none"/>
          <w:lang w:bidi="ar"/>
        </w:rPr>
        <w:t>存储服务</w:t>
      </w:r>
      <w:r>
        <w:rPr>
          <w:rFonts w:hint="eastAsia" w:ascii="宋体" w:hAnsi="宋体" w:cs="宋体"/>
          <w:kern w:val="0"/>
          <w:sz w:val="24"/>
          <w:szCs w:val="22"/>
          <w:highlight w:val="none"/>
          <w:lang w:bidi="ar"/>
        </w:rPr>
        <w:t xml:space="preserve"> </w:t>
      </w:r>
    </w:p>
    <w:p w14:paraId="28E2E787">
      <w:pPr>
        <w:adjustRightInd w:val="0"/>
        <w:spacing w:line="360" w:lineRule="auto"/>
        <w:ind w:firstLine="480" w:firstLineChars="200"/>
        <w:jc w:val="left"/>
        <w:textAlignment w:val="baseline"/>
        <w:rPr>
          <w:rFonts w:hint="eastAsia" w:ascii="宋体" w:hAnsi="宋体" w:cs="宋体"/>
          <w:kern w:val="0"/>
          <w:sz w:val="24"/>
          <w:szCs w:val="22"/>
          <w:highlight w:val="none"/>
          <w:lang w:eastAsia="zh-CN" w:bidi="ar"/>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w:t>
      </w:r>
      <w:r>
        <w:rPr>
          <w:rFonts w:hint="eastAsia" w:ascii="宋体" w:hAnsi="宋体" w:eastAsia="宋体" w:cs="宋体"/>
          <w:sz w:val="24"/>
          <w:highlight w:val="none"/>
        </w:rPr>
        <w:t>，</w:t>
      </w:r>
      <w:r>
        <w:rPr>
          <w:rFonts w:hint="eastAsia" w:ascii="宋体" w:hAnsi="宋体" w:cs="宋体"/>
          <w:kern w:val="0"/>
          <w:sz w:val="24"/>
          <w:szCs w:val="22"/>
          <w:highlight w:val="none"/>
          <w:lang w:bidi="ar"/>
        </w:rPr>
        <w:t>提供存储服务，包括：普通性能存储、高性能存储和本地备份服务</w:t>
      </w:r>
      <w:r>
        <w:rPr>
          <w:rFonts w:hint="eastAsia" w:ascii="宋体" w:hAnsi="宋体" w:cs="宋体"/>
          <w:kern w:val="0"/>
          <w:sz w:val="24"/>
          <w:szCs w:val="22"/>
          <w:highlight w:val="none"/>
          <w:lang w:eastAsia="zh-CN" w:bidi="ar"/>
        </w:rPr>
        <w:t>。</w:t>
      </w:r>
    </w:p>
    <w:p w14:paraId="51CC4BAB">
      <w:pPr>
        <w:spacing w:line="360" w:lineRule="auto"/>
        <w:ind w:firstLine="480" w:firstLineChars="200"/>
        <w:rPr>
          <w:rFonts w:ascii="宋体" w:hAnsi="宋体" w:eastAsia="宋体"/>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需根据采购需求，提供单盘IOPS</w:t>
      </w:r>
      <w:r>
        <w:rPr>
          <w:rFonts w:hint="eastAsia" w:ascii="宋体" w:hAnsi="宋体" w:cs="宋体"/>
          <w:bCs/>
          <w:sz w:val="24"/>
          <w:highlight w:val="none"/>
          <w:lang w:val="en-US" w:eastAsia="zh-CN"/>
        </w:rPr>
        <w:t>2</w:t>
      </w:r>
      <w:r>
        <w:rPr>
          <w:rFonts w:hint="eastAsia" w:ascii="宋体" w:hAnsi="宋体" w:eastAsia="宋体" w:cs="宋体"/>
          <w:bCs/>
          <w:sz w:val="24"/>
          <w:highlight w:val="none"/>
        </w:rPr>
        <w:t>000-</w:t>
      </w:r>
      <w:r>
        <w:rPr>
          <w:rFonts w:hint="eastAsia" w:ascii="宋体" w:hAnsi="宋体" w:cs="宋体"/>
          <w:bCs/>
          <w:sz w:val="24"/>
          <w:highlight w:val="none"/>
          <w:lang w:val="en-US" w:eastAsia="zh-CN"/>
        </w:rPr>
        <w:t>5</w:t>
      </w:r>
      <w:r>
        <w:rPr>
          <w:rFonts w:hint="eastAsia" w:ascii="宋体" w:hAnsi="宋体" w:eastAsia="宋体" w:cs="宋体"/>
          <w:bCs/>
          <w:sz w:val="24"/>
          <w:highlight w:val="none"/>
        </w:rPr>
        <w:t>000的普通性能存储服务，按照采购人要求对存储空间和配置进行动态调整。</w:t>
      </w:r>
    </w:p>
    <w:p w14:paraId="6F1690EA">
      <w:pPr>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 xml:space="preserve">需根据采购需求，提供单盘IOPS </w:t>
      </w:r>
      <w:r>
        <w:rPr>
          <w:rFonts w:hint="eastAsia" w:ascii="宋体" w:hAnsi="宋体" w:cs="宋体"/>
          <w:bCs/>
          <w:sz w:val="24"/>
          <w:highlight w:val="none"/>
          <w:lang w:val="en-US" w:eastAsia="zh-CN"/>
        </w:rPr>
        <w:t>10</w:t>
      </w:r>
      <w:r>
        <w:rPr>
          <w:rFonts w:hint="eastAsia" w:ascii="宋体" w:hAnsi="宋体" w:eastAsia="宋体" w:cs="宋体"/>
          <w:bCs/>
          <w:sz w:val="24"/>
          <w:highlight w:val="none"/>
        </w:rPr>
        <w:t>000-2</w:t>
      </w:r>
      <w:r>
        <w:rPr>
          <w:rFonts w:hint="eastAsia" w:ascii="宋体" w:hAnsi="宋体" w:cs="宋体"/>
          <w:bCs/>
          <w:sz w:val="24"/>
          <w:highlight w:val="none"/>
          <w:lang w:val="en-US" w:eastAsia="zh-CN"/>
        </w:rPr>
        <w:t>5</w:t>
      </w:r>
      <w:r>
        <w:rPr>
          <w:rFonts w:hint="eastAsia" w:ascii="宋体" w:hAnsi="宋体" w:eastAsia="宋体" w:cs="宋体"/>
          <w:bCs/>
          <w:sz w:val="24"/>
          <w:highlight w:val="none"/>
        </w:rPr>
        <w:t>000的高性能存储服务，按照采购人要求对存储空间和配置进行动态调整。</w:t>
      </w:r>
    </w:p>
    <w:p w14:paraId="39BB92DE">
      <w:pPr>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需根据采购需求，提供本地备份服务，通过备份策略实现文件、操作系统、数据库的本地备份。</w:t>
      </w:r>
    </w:p>
    <w:p w14:paraId="45CB2974">
      <w:pPr>
        <w:numPr>
          <w:ilvl w:val="0"/>
          <w:numId w:val="1"/>
        </w:numPr>
        <w:adjustRightInd w:val="0"/>
        <w:spacing w:line="360" w:lineRule="auto"/>
        <w:ind w:firstLine="482" w:firstLineChars="200"/>
        <w:jc w:val="left"/>
        <w:textAlignment w:val="baseline"/>
        <w:rPr>
          <w:rFonts w:hint="eastAsia" w:ascii="宋体" w:hAnsi="宋体" w:cs="宋体"/>
          <w:b/>
          <w:bCs/>
          <w:kern w:val="0"/>
          <w:sz w:val="24"/>
          <w:szCs w:val="22"/>
          <w:highlight w:val="none"/>
          <w:lang w:bidi="ar"/>
        </w:rPr>
      </w:pPr>
      <w:r>
        <w:rPr>
          <w:rFonts w:hint="eastAsia" w:ascii="宋体" w:hAnsi="宋体" w:cs="宋体"/>
          <w:b/>
          <w:bCs/>
          <w:kern w:val="0"/>
          <w:sz w:val="24"/>
          <w:szCs w:val="22"/>
          <w:highlight w:val="none"/>
          <w:lang w:bidi="ar"/>
        </w:rPr>
        <w:t>网络服务</w:t>
      </w:r>
    </w:p>
    <w:p w14:paraId="5EE40FD5">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投标人需根据采购需求，提供链路带宽服务及互联网IP地址租用服务，并提供相应的网络域名备案服务，按照管理部门要求,配合系统应用厂商提供网络策略配置服务</w:t>
      </w:r>
      <w:r>
        <w:rPr>
          <w:rFonts w:hint="eastAsia" w:ascii="宋体" w:hAnsi="宋体" w:cs="宋体"/>
          <w:bCs/>
          <w:sz w:val="24"/>
          <w:highlight w:val="none"/>
          <w:lang w:eastAsia="zh-CN"/>
        </w:rPr>
        <w:t>。</w:t>
      </w:r>
    </w:p>
    <w:p w14:paraId="2692EDE3">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投标人需根据采购需求，提供应用负载均衡服务，实现主机应用集群的负载均衡</w:t>
      </w:r>
      <w:r>
        <w:rPr>
          <w:rFonts w:hint="eastAsia" w:ascii="宋体" w:hAnsi="宋体" w:cs="宋体"/>
          <w:bCs/>
          <w:sz w:val="24"/>
          <w:highlight w:val="none"/>
          <w:lang w:eastAsia="zh-CN"/>
        </w:rPr>
        <w:t>。</w:t>
      </w:r>
    </w:p>
    <w:p w14:paraId="69D76015">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投标人需根据采购需求，提供远程接入服务，每个账号结合身份验证通过VPN远程接入堡垒机维护应用系统</w:t>
      </w:r>
      <w:r>
        <w:rPr>
          <w:rFonts w:hint="eastAsia" w:ascii="宋体" w:hAnsi="宋体" w:cs="宋体"/>
          <w:bCs/>
          <w:sz w:val="24"/>
          <w:highlight w:val="none"/>
          <w:lang w:eastAsia="zh-CN"/>
        </w:rPr>
        <w:t>。</w:t>
      </w:r>
    </w:p>
    <w:p w14:paraId="635E9FD1">
      <w:pPr>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投标人需根据采购需求，提供WAF防护服务，通过在前端架设WAF防护服务，保证用户对已知安全隐患进行防护，实时升级漏洞补丁，配置防护策略，起到前端防护作用</w:t>
      </w:r>
      <w:r>
        <w:rPr>
          <w:rFonts w:hint="eastAsia" w:ascii="宋体" w:hAnsi="宋体" w:cs="宋体"/>
          <w:bCs/>
          <w:sz w:val="24"/>
          <w:highlight w:val="none"/>
          <w:lang w:eastAsia="zh-CN"/>
        </w:rPr>
        <w:t>。</w:t>
      </w:r>
    </w:p>
    <w:p w14:paraId="1E18FC65">
      <w:pPr>
        <w:numPr>
          <w:ilvl w:val="0"/>
          <w:numId w:val="0"/>
        </w:numPr>
        <w:adjustRightInd w:val="0"/>
        <w:spacing w:line="360" w:lineRule="auto"/>
        <w:ind w:left="0" w:leftChars="0" w:firstLine="482" w:firstLineChars="200"/>
        <w:jc w:val="left"/>
        <w:textAlignment w:val="baseline"/>
        <w:rPr>
          <w:rFonts w:hint="eastAsia" w:ascii="宋体" w:hAnsi="宋体" w:cs="宋体"/>
          <w:b/>
          <w:bCs/>
          <w:kern w:val="0"/>
          <w:sz w:val="24"/>
          <w:szCs w:val="22"/>
          <w:highlight w:val="none"/>
          <w:lang w:bidi="ar"/>
        </w:rPr>
      </w:pPr>
      <w:r>
        <w:rPr>
          <w:rFonts w:hint="eastAsia" w:ascii="宋体" w:hAnsi="宋体" w:cs="宋体"/>
          <w:b/>
          <w:bCs/>
          <w:kern w:val="0"/>
          <w:sz w:val="24"/>
          <w:szCs w:val="22"/>
          <w:highlight w:val="none"/>
          <w:lang w:val="en-US" w:eastAsia="zh-CN" w:bidi="ar"/>
        </w:rPr>
        <w:t>4.</w:t>
      </w:r>
      <w:r>
        <w:rPr>
          <w:rFonts w:hint="eastAsia" w:ascii="宋体" w:hAnsi="宋体" w:cs="宋体"/>
          <w:b/>
          <w:bCs/>
          <w:kern w:val="0"/>
          <w:sz w:val="24"/>
          <w:szCs w:val="22"/>
          <w:highlight w:val="none"/>
          <w:lang w:bidi="ar"/>
        </w:rPr>
        <w:t>运维服务</w:t>
      </w:r>
    </w:p>
    <w:p w14:paraId="3D3EC8DD">
      <w:pPr>
        <w:spacing w:line="360" w:lineRule="auto"/>
        <w:ind w:firstLine="480" w:firstLineChars="200"/>
        <w:rPr>
          <w:rFonts w:hint="eastAsia" w:ascii="宋体" w:hAnsi="宋体" w:cs="宋体"/>
          <w:b/>
          <w:bCs/>
          <w:kern w:val="0"/>
          <w:sz w:val="24"/>
          <w:szCs w:val="22"/>
          <w:highlight w:val="none"/>
          <w:lang w:bidi="ar"/>
        </w:rPr>
      </w:pPr>
      <w:r>
        <w:rPr>
          <w:rFonts w:hint="eastAsia" w:ascii="宋体" w:hAnsi="宋体" w:eastAsia="宋体" w:cs="宋体"/>
          <w:sz w:val="24"/>
          <w:highlight w:val="none"/>
        </w:rPr>
        <w:t>投标人</w:t>
      </w:r>
      <w:r>
        <w:rPr>
          <w:rFonts w:hint="eastAsia" w:ascii="宋体" w:hAnsi="宋体" w:eastAsia="宋体" w:cs="宋体"/>
          <w:bCs/>
          <w:sz w:val="24"/>
          <w:highlight w:val="none"/>
        </w:rPr>
        <w:t>提供的政务云环境应在安全等保三级基础上，按各业务系统具体安全需求，开展相应等保评估、检查、整改等工作。</w:t>
      </w:r>
    </w:p>
    <w:p w14:paraId="01904E82">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val="en-US" w:eastAsia="zh-CN" w:bidi="ar"/>
        </w:rPr>
        <w:t>1</w:t>
      </w: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bidi="ar"/>
        </w:rPr>
        <w:t>服务规范</w:t>
      </w:r>
    </w:p>
    <w:p w14:paraId="62C6DB42">
      <w:pPr>
        <w:spacing w:line="360" w:lineRule="auto"/>
        <w:ind w:firstLine="480" w:firstLineChars="200"/>
        <w:rPr>
          <w:rFonts w:ascii="宋体" w:hAnsi="宋体" w:eastAsia="宋体" w:cs="宋体"/>
          <w:bCs/>
          <w:sz w:val="24"/>
          <w:highlight w:val="none"/>
        </w:rPr>
      </w:pPr>
      <w:r>
        <w:rPr>
          <w:rFonts w:hint="eastAsia" w:ascii="宋体" w:hAnsi="宋体" w:eastAsia="宋体" w:cs="宋体"/>
          <w:sz w:val="24"/>
          <w:highlight w:val="none"/>
        </w:rPr>
        <w:t>投标人</w:t>
      </w:r>
      <w:r>
        <w:rPr>
          <w:rFonts w:hint="eastAsia" w:ascii="宋体" w:hAnsi="宋体" w:eastAsia="宋体" w:cs="宋体"/>
          <w:bCs/>
          <w:sz w:val="24"/>
          <w:highlight w:val="none"/>
        </w:rPr>
        <w:t>须严格按照《北京市市级政务云管理办法》以及采购人制定的管理办法及流程等相关制度，开展标准化运维工作。</w:t>
      </w:r>
    </w:p>
    <w:p w14:paraId="643611B7">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val="en-US" w:eastAsia="zh-CN" w:bidi="ar"/>
        </w:rPr>
        <w:t>2</w:t>
      </w: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bidi="ar"/>
        </w:rPr>
        <w:t>服务方式</w:t>
      </w:r>
    </w:p>
    <w:p w14:paraId="36FBB322">
      <w:pPr>
        <w:adjustRightInd w:val="0"/>
        <w:spacing w:line="360" w:lineRule="auto"/>
        <w:ind w:firstLine="480" w:firstLineChars="200"/>
        <w:jc w:val="left"/>
        <w:textAlignment w:val="baseline"/>
        <w:rPr>
          <w:rFonts w:ascii="宋体" w:hAnsi="宋体" w:cs="宋体"/>
          <w:kern w:val="0"/>
          <w:sz w:val="24"/>
          <w:szCs w:val="22"/>
          <w:highlight w:val="none"/>
          <w:lang w:bidi="ar"/>
        </w:rPr>
      </w:pPr>
      <w:r>
        <w:rPr>
          <w:rFonts w:hint="eastAsia" w:ascii="宋体" w:hAnsi="宋体" w:cs="宋体"/>
          <w:kern w:val="0"/>
          <w:sz w:val="24"/>
          <w:szCs w:val="22"/>
          <w:highlight w:val="none"/>
          <w:lang w:bidi="ar"/>
        </w:rPr>
        <w:t>投标人需利用监控系统或人工对机房环境、硬件设备及应用系统的运行情况进行7×24小时的不间断巡检监控，及时发现安全隐患，通知相关人员及时处理，并形成监控报告。</w:t>
      </w:r>
    </w:p>
    <w:p w14:paraId="6F5223D0">
      <w:pPr>
        <w:adjustRightInd w:val="0"/>
        <w:spacing w:line="360" w:lineRule="auto"/>
        <w:ind w:firstLine="480" w:firstLineChars="200"/>
        <w:jc w:val="left"/>
        <w:textAlignment w:val="baseline"/>
        <w:rPr>
          <w:rFonts w:ascii="宋体" w:hAnsi="宋体" w:cs="宋体"/>
          <w:kern w:val="0"/>
          <w:sz w:val="24"/>
          <w:szCs w:val="22"/>
          <w:highlight w:val="none"/>
          <w:lang w:bidi="ar"/>
        </w:rPr>
      </w:pPr>
      <w:r>
        <w:rPr>
          <w:rFonts w:hint="eastAsia" w:ascii="宋体" w:hAnsi="宋体" w:cs="宋体"/>
          <w:kern w:val="0"/>
          <w:sz w:val="24"/>
          <w:szCs w:val="22"/>
          <w:highlight w:val="none"/>
          <w:lang w:bidi="ar"/>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18E51B89">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val="en-US" w:eastAsia="zh-CN" w:bidi="ar"/>
        </w:rPr>
        <w:t>3</w:t>
      </w: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bidi="ar"/>
        </w:rPr>
        <w:t>安全及保密要求</w:t>
      </w:r>
    </w:p>
    <w:p w14:paraId="6EE7208C">
      <w:pPr>
        <w:adjustRightInd w:val="0"/>
        <w:spacing w:line="360" w:lineRule="auto"/>
        <w:ind w:firstLine="480" w:firstLineChars="200"/>
        <w:jc w:val="left"/>
        <w:textAlignment w:val="baseline"/>
        <w:rPr>
          <w:rFonts w:ascii="宋体" w:hAnsi="宋体" w:cs="宋体"/>
          <w:kern w:val="0"/>
          <w:sz w:val="24"/>
          <w:szCs w:val="22"/>
          <w:highlight w:val="none"/>
          <w:lang w:bidi="ar"/>
        </w:rPr>
      </w:pPr>
      <w:r>
        <w:rPr>
          <w:rFonts w:hint="eastAsia" w:ascii="宋体" w:hAnsi="宋体" w:cs="宋体"/>
          <w:kern w:val="0"/>
          <w:sz w:val="24"/>
          <w:szCs w:val="22"/>
          <w:highlight w:val="none"/>
          <w:lang w:bidi="ar"/>
        </w:rPr>
        <w:t>投标人须严格遵守采购人的相关信息安全规定，不得利用系统维护服务时的便利对采购人数据及其他信息擅自修改或透漏给第三方。</w:t>
      </w:r>
    </w:p>
    <w:p w14:paraId="275B25C7">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val="en-US" w:eastAsia="zh-CN" w:bidi="ar"/>
        </w:rPr>
        <w:t>4</w:t>
      </w: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bidi="ar"/>
        </w:rPr>
        <w:t>响应的及时性</w:t>
      </w:r>
    </w:p>
    <w:p w14:paraId="528C2321">
      <w:pPr>
        <w:adjustRightInd w:val="0"/>
        <w:spacing w:line="360" w:lineRule="auto"/>
        <w:ind w:firstLine="480" w:firstLineChars="200"/>
        <w:jc w:val="left"/>
        <w:textAlignment w:val="baseline"/>
        <w:rPr>
          <w:rFonts w:ascii="宋体" w:hAnsi="宋体" w:cs="宋体"/>
          <w:kern w:val="0"/>
          <w:sz w:val="24"/>
          <w:szCs w:val="22"/>
          <w:highlight w:val="none"/>
          <w:lang w:bidi="ar"/>
        </w:rPr>
      </w:pPr>
      <w:r>
        <w:rPr>
          <w:rFonts w:hint="eastAsia" w:ascii="宋体" w:hAnsi="宋体" w:cs="宋体"/>
          <w:kern w:val="0"/>
          <w:sz w:val="24"/>
          <w:szCs w:val="22"/>
          <w:highlight w:val="none"/>
          <w:lang w:bidi="ar"/>
        </w:rPr>
        <w:t>投标人应当提供高效的系统维护服务，有效防范系统风险，系统对应负责人7×24小时电话畅通，能够在系统发生除宕机外的其他故障问题时，能够协调人力资源在1小时内到达运维现场提供服务。系统发生宕机问题时，投标人应在5分钟内响应，在1个小时之内使系统恢复正常</w:t>
      </w:r>
      <w:r>
        <w:rPr>
          <w:rFonts w:hint="eastAsia" w:ascii="宋体" w:hAnsi="宋体" w:cs="宋体"/>
          <w:kern w:val="0"/>
          <w:sz w:val="24"/>
          <w:szCs w:val="22"/>
          <w:highlight w:val="none"/>
          <w:lang w:eastAsia="zh-CN" w:bidi="ar"/>
        </w:rPr>
        <w:t>。</w:t>
      </w:r>
      <w:r>
        <w:rPr>
          <w:rFonts w:hint="eastAsia" w:ascii="宋体" w:hAnsi="宋体" w:cs="宋体"/>
          <w:kern w:val="0"/>
          <w:sz w:val="24"/>
          <w:szCs w:val="22"/>
          <w:highlight w:val="none"/>
          <w:lang w:bidi="ar"/>
        </w:rPr>
        <w:t>故障处理完毕后提供相关系统宕机报告。</w:t>
      </w:r>
    </w:p>
    <w:p w14:paraId="6C280286">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val="en-US" w:eastAsia="zh-CN" w:bidi="ar"/>
        </w:rPr>
        <w:t>5</w:t>
      </w:r>
      <w:r>
        <w:rPr>
          <w:rFonts w:hint="eastAsia" w:ascii="宋体" w:hAnsi="宋体" w:cs="宋体"/>
          <w:b/>
          <w:bCs/>
          <w:kern w:val="0"/>
          <w:sz w:val="24"/>
          <w:szCs w:val="22"/>
          <w:highlight w:val="none"/>
          <w:lang w:eastAsia="zh-CN" w:bidi="ar"/>
        </w:rPr>
        <w:t>）</w:t>
      </w:r>
      <w:r>
        <w:rPr>
          <w:rFonts w:hint="eastAsia" w:ascii="宋体" w:hAnsi="宋体" w:cs="宋体"/>
          <w:b/>
          <w:bCs/>
          <w:kern w:val="0"/>
          <w:sz w:val="24"/>
          <w:szCs w:val="22"/>
          <w:highlight w:val="none"/>
          <w:lang w:bidi="ar"/>
        </w:rPr>
        <w:t>重点保障要求</w:t>
      </w:r>
    </w:p>
    <w:p w14:paraId="41F2E609">
      <w:pPr>
        <w:adjustRightInd w:val="0"/>
        <w:spacing w:line="360" w:lineRule="auto"/>
        <w:ind w:firstLine="480" w:firstLineChars="200"/>
        <w:jc w:val="left"/>
        <w:textAlignment w:val="baseline"/>
        <w:rPr>
          <w:rFonts w:hint="eastAsia" w:ascii="宋体" w:hAnsi="宋体" w:cs="宋体"/>
          <w:kern w:val="0"/>
          <w:sz w:val="24"/>
          <w:szCs w:val="22"/>
          <w:highlight w:val="none"/>
          <w:lang w:bidi="ar"/>
        </w:rPr>
      </w:pPr>
      <w:r>
        <w:rPr>
          <w:rFonts w:hint="eastAsia" w:ascii="宋体" w:hAnsi="宋体" w:cs="宋体"/>
          <w:kern w:val="0"/>
          <w:sz w:val="24"/>
          <w:szCs w:val="22"/>
          <w:highlight w:val="none"/>
          <w:lang w:bidi="ar"/>
        </w:rPr>
        <w:t>为保障业务高峰期内系统平稳运行，缓解系统高峰期内因业务发生量增大而带来系统压力风险，要求投标人根据业务周期性特点，加大运维保障力度，保证在业务高峰期内系统平稳运行。</w:t>
      </w:r>
    </w:p>
    <w:p w14:paraId="436809A1">
      <w:pPr>
        <w:numPr>
          <w:ilvl w:val="0"/>
          <w:numId w:val="0"/>
        </w:numPr>
        <w:adjustRightInd w:val="0"/>
        <w:spacing w:line="360" w:lineRule="auto"/>
        <w:ind w:left="0" w:leftChars="0" w:firstLine="482" w:firstLineChars="200"/>
        <w:jc w:val="left"/>
        <w:textAlignment w:val="baseline"/>
        <w:rPr>
          <w:rFonts w:hint="eastAsia" w:ascii="宋体" w:hAnsi="宋体" w:cs="宋体"/>
          <w:b/>
          <w:bCs/>
          <w:kern w:val="0"/>
          <w:sz w:val="24"/>
          <w:szCs w:val="22"/>
          <w:highlight w:val="none"/>
          <w:lang w:val="en-US" w:eastAsia="zh-CN" w:bidi="ar"/>
        </w:rPr>
      </w:pPr>
      <w:r>
        <w:rPr>
          <w:rFonts w:hint="eastAsia" w:ascii="宋体" w:hAnsi="宋体" w:cs="宋体"/>
          <w:b/>
          <w:bCs/>
          <w:kern w:val="0"/>
          <w:sz w:val="24"/>
          <w:szCs w:val="22"/>
          <w:highlight w:val="none"/>
          <w:lang w:val="en-US" w:eastAsia="zh-CN" w:bidi="ar"/>
        </w:rPr>
        <w:t>5.迁移服务</w:t>
      </w:r>
    </w:p>
    <w:p w14:paraId="7C1E5D03">
      <w:pPr>
        <w:numPr>
          <w:ilvl w:val="0"/>
          <w:numId w:val="0"/>
        </w:numPr>
        <w:adjustRightInd w:val="0"/>
        <w:spacing w:line="360" w:lineRule="auto"/>
        <w:ind w:firstLine="480" w:firstLineChars="200"/>
        <w:jc w:val="left"/>
        <w:textAlignment w:val="baseline"/>
        <w:rPr>
          <w:rFonts w:hint="eastAsia" w:ascii="宋体" w:hAnsi="宋体" w:cs="宋体"/>
          <w:kern w:val="0"/>
          <w:sz w:val="24"/>
          <w:szCs w:val="22"/>
          <w:highlight w:val="none"/>
          <w:lang w:val="en-US" w:eastAsia="zh-CN" w:bidi="ar"/>
        </w:rPr>
      </w:pPr>
      <w:r>
        <w:rPr>
          <w:rFonts w:hint="default" w:ascii="宋体" w:hAnsi="宋体" w:cs="宋体"/>
          <w:kern w:val="0"/>
          <w:sz w:val="24"/>
          <w:szCs w:val="22"/>
          <w:highlight w:val="none"/>
          <w:lang w:val="en-US" w:eastAsia="zh-CN" w:bidi="ar"/>
        </w:rPr>
        <w:t>由于目前业务系统属于生产系统，保障业务系统正常</w:t>
      </w:r>
      <w:r>
        <w:rPr>
          <w:rFonts w:hint="default" w:ascii="宋体" w:hAnsi="宋体" w:cs="宋体"/>
          <w:kern w:val="0"/>
          <w:sz w:val="24"/>
          <w:szCs w:val="22"/>
          <w:highlight w:val="none"/>
          <w:lang w:eastAsia="zh-CN" w:bidi="ar"/>
        </w:rPr>
        <w:t>运行</w:t>
      </w:r>
      <w:r>
        <w:rPr>
          <w:rFonts w:hint="default" w:ascii="宋体" w:hAnsi="宋体" w:cs="宋体"/>
          <w:kern w:val="0"/>
          <w:sz w:val="24"/>
          <w:szCs w:val="22"/>
          <w:highlight w:val="none"/>
          <w:lang w:val="en-US" w:eastAsia="zh-CN" w:bidi="ar"/>
        </w:rPr>
        <w:t>是关键。如涉及跨云平台迁移，在系统业务</w:t>
      </w:r>
      <w:r>
        <w:rPr>
          <w:rFonts w:hint="eastAsia" w:ascii="宋体" w:hAnsi="宋体" w:cs="宋体"/>
          <w:kern w:val="0"/>
          <w:sz w:val="24"/>
          <w:szCs w:val="22"/>
          <w:highlight w:val="none"/>
          <w:lang w:val="en-US" w:eastAsia="zh-CN" w:bidi="ar"/>
        </w:rPr>
        <w:t>正常运行</w:t>
      </w:r>
      <w:r>
        <w:rPr>
          <w:rFonts w:hint="default" w:ascii="宋体" w:hAnsi="宋体" w:cs="宋体"/>
          <w:kern w:val="0"/>
          <w:sz w:val="24"/>
          <w:szCs w:val="22"/>
          <w:highlight w:val="none"/>
          <w:lang w:val="en-US" w:eastAsia="zh-CN" w:bidi="ar"/>
        </w:rPr>
        <w:t>的前提下，自合同生效之日起</w:t>
      </w:r>
      <w:r>
        <w:rPr>
          <w:rFonts w:hint="eastAsia" w:ascii="宋体" w:hAnsi="宋体" w:cs="宋体"/>
          <w:kern w:val="0"/>
          <w:sz w:val="24"/>
          <w:szCs w:val="22"/>
          <w:highlight w:val="none"/>
          <w:lang w:val="en-US" w:eastAsia="zh-CN" w:bidi="ar"/>
        </w:rPr>
        <w:t>7</w:t>
      </w:r>
      <w:r>
        <w:rPr>
          <w:rFonts w:hint="default" w:ascii="宋体" w:hAnsi="宋体" w:cs="宋体"/>
          <w:kern w:val="0"/>
          <w:sz w:val="24"/>
          <w:szCs w:val="22"/>
          <w:highlight w:val="none"/>
          <w:lang w:val="en-US" w:eastAsia="zh-CN" w:bidi="ar"/>
        </w:rPr>
        <w:t>个工作日内完成全部系统迁移</w:t>
      </w:r>
      <w:r>
        <w:rPr>
          <w:rFonts w:hint="eastAsia" w:ascii="宋体" w:hAnsi="宋体" w:cs="宋体"/>
          <w:kern w:val="0"/>
          <w:sz w:val="24"/>
          <w:szCs w:val="22"/>
          <w:highlight w:val="none"/>
          <w:lang w:val="en-US" w:eastAsia="zh-CN" w:bidi="ar"/>
        </w:rPr>
        <w:t>，投标人需提供迁移服务承诺函，明确迁移所需时间；并提供承诺书，明确是否需要采购人投入专人、时间及工作。</w:t>
      </w:r>
    </w:p>
    <w:p w14:paraId="3B825F68">
      <w:pPr>
        <w:numPr>
          <w:ilvl w:val="0"/>
          <w:numId w:val="0"/>
        </w:numPr>
        <w:adjustRightInd w:val="0"/>
        <w:spacing w:line="360" w:lineRule="auto"/>
        <w:ind w:firstLine="480" w:firstLineChars="200"/>
        <w:jc w:val="left"/>
        <w:textAlignment w:val="baseline"/>
        <w:rPr>
          <w:rFonts w:hint="default" w:ascii="宋体" w:hAnsi="宋体" w:cs="宋体"/>
          <w:kern w:val="0"/>
          <w:sz w:val="24"/>
          <w:szCs w:val="22"/>
          <w:highlight w:val="none"/>
          <w:lang w:val="en-US" w:eastAsia="zh-CN" w:bidi="ar"/>
        </w:rPr>
      </w:pPr>
      <w:r>
        <w:rPr>
          <w:rFonts w:hint="eastAsia" w:ascii="宋体" w:hAnsi="宋体" w:cs="宋体"/>
          <w:kern w:val="0"/>
          <w:sz w:val="24"/>
          <w:szCs w:val="22"/>
          <w:highlight w:val="none"/>
          <w:lang w:val="en-US" w:eastAsia="zh-CN" w:bidi="ar"/>
        </w:rPr>
        <w:t>投标人</w:t>
      </w:r>
      <w:r>
        <w:rPr>
          <w:rFonts w:hint="default" w:ascii="宋体" w:hAnsi="宋体" w:cs="宋体"/>
          <w:kern w:val="0"/>
          <w:sz w:val="24"/>
          <w:szCs w:val="22"/>
          <w:highlight w:val="none"/>
          <w:lang w:val="en-US" w:eastAsia="zh-CN" w:bidi="ar"/>
        </w:rPr>
        <w:t>需具备类似项目经验，可根据业务特点制定应用系统迁移部署方案，配合用户完成系统迁移部署、运行和安全保障，最终保证现有业务系统可平滑迁移至中标单位云平台。</w:t>
      </w:r>
    </w:p>
    <w:p w14:paraId="475C5B00">
      <w:pPr>
        <w:numPr>
          <w:ilvl w:val="0"/>
          <w:numId w:val="0"/>
        </w:numPr>
        <w:adjustRightInd w:val="0"/>
        <w:spacing w:line="360" w:lineRule="auto"/>
        <w:ind w:firstLine="480" w:firstLineChars="200"/>
        <w:jc w:val="left"/>
        <w:textAlignment w:val="baseline"/>
        <w:rPr>
          <w:rFonts w:hint="default" w:ascii="宋体" w:hAnsi="宋体" w:cs="宋体"/>
          <w:kern w:val="0"/>
          <w:sz w:val="24"/>
          <w:szCs w:val="22"/>
          <w:highlight w:val="none"/>
          <w:lang w:val="en-US" w:eastAsia="zh-CN" w:bidi="ar"/>
        </w:rPr>
      </w:pPr>
      <w:r>
        <w:rPr>
          <w:rFonts w:hint="default" w:ascii="宋体" w:hAnsi="宋体" w:cs="宋体"/>
          <w:kern w:val="0"/>
          <w:sz w:val="24"/>
          <w:szCs w:val="22"/>
          <w:highlight w:val="none"/>
          <w:lang w:val="en-US" w:eastAsia="zh-CN" w:bidi="ar"/>
        </w:rPr>
        <w:t>针对已经运行在政务云平台上的应用系统，为确保迁移过程中数据不丢失、系统业务</w:t>
      </w:r>
      <w:r>
        <w:rPr>
          <w:rFonts w:hint="eastAsia" w:ascii="宋体" w:hAnsi="宋体" w:cs="宋体"/>
          <w:kern w:val="0"/>
          <w:sz w:val="24"/>
          <w:szCs w:val="22"/>
          <w:highlight w:val="none"/>
          <w:lang w:val="en-US" w:eastAsia="zh-CN" w:bidi="ar"/>
        </w:rPr>
        <w:t>正常运行</w:t>
      </w:r>
      <w:r>
        <w:rPr>
          <w:rFonts w:hint="default" w:ascii="宋体" w:hAnsi="宋体" w:cs="宋体"/>
          <w:kern w:val="0"/>
          <w:sz w:val="24"/>
          <w:szCs w:val="22"/>
          <w:highlight w:val="none"/>
          <w:lang w:val="en-US" w:eastAsia="zh-CN" w:bidi="ar"/>
        </w:rPr>
        <w:t>，本次中标人负责与原政务云平台的服务商进行主动对接，系统迁移涉及的所有费用（包括但不限于</w:t>
      </w:r>
      <w:r>
        <w:rPr>
          <w:rFonts w:hint="eastAsia" w:ascii="宋体" w:hAnsi="宋体" w:cs="宋体"/>
          <w:kern w:val="0"/>
          <w:sz w:val="24"/>
          <w:szCs w:val="22"/>
          <w:highlight w:val="none"/>
          <w:lang w:val="en-US" w:eastAsia="zh-CN" w:bidi="ar"/>
        </w:rPr>
        <w:t>中标人</w:t>
      </w:r>
      <w:r>
        <w:rPr>
          <w:rFonts w:hint="default" w:ascii="宋体" w:hAnsi="宋体" w:cs="宋体"/>
          <w:kern w:val="0"/>
          <w:sz w:val="24"/>
          <w:szCs w:val="22"/>
          <w:highlight w:val="none"/>
          <w:lang w:val="en-US" w:eastAsia="zh-CN" w:bidi="ar"/>
        </w:rPr>
        <w:t>迁移测试阶段的云资源费用，系统开发商对业务系统的部署、调试费用，原服务商配合迁出系统的服务费用等）由本次</w:t>
      </w:r>
      <w:r>
        <w:rPr>
          <w:rFonts w:hint="eastAsia" w:ascii="宋体" w:hAnsi="宋体" w:cs="宋体"/>
          <w:kern w:val="0"/>
          <w:sz w:val="24"/>
          <w:szCs w:val="22"/>
          <w:highlight w:val="none"/>
          <w:lang w:val="en-US" w:eastAsia="zh-CN" w:bidi="ar"/>
        </w:rPr>
        <w:t>中标人</w:t>
      </w:r>
      <w:r>
        <w:rPr>
          <w:rFonts w:hint="default" w:ascii="宋体" w:hAnsi="宋体" w:cs="宋体"/>
          <w:kern w:val="0"/>
          <w:sz w:val="24"/>
          <w:szCs w:val="22"/>
          <w:highlight w:val="none"/>
          <w:lang w:val="en-US" w:eastAsia="zh-CN" w:bidi="ar"/>
        </w:rPr>
        <w:t>负责解决。</w:t>
      </w:r>
    </w:p>
    <w:p w14:paraId="3031E143">
      <w:pPr>
        <w:numPr>
          <w:ilvl w:val="0"/>
          <w:numId w:val="0"/>
        </w:numPr>
        <w:adjustRightInd w:val="0"/>
        <w:spacing w:line="360" w:lineRule="auto"/>
        <w:ind w:firstLine="480" w:firstLineChars="200"/>
        <w:jc w:val="left"/>
        <w:textAlignment w:val="baseline"/>
        <w:rPr>
          <w:rFonts w:hint="default" w:ascii="宋体" w:hAnsi="宋体" w:cs="宋体"/>
          <w:kern w:val="0"/>
          <w:sz w:val="24"/>
          <w:szCs w:val="22"/>
          <w:highlight w:val="none"/>
          <w:lang w:val="en-US" w:eastAsia="zh-CN" w:bidi="ar"/>
        </w:rPr>
      </w:pPr>
      <w:r>
        <w:rPr>
          <w:rFonts w:hint="default" w:ascii="宋体" w:hAnsi="宋体" w:cs="宋体"/>
          <w:kern w:val="0"/>
          <w:sz w:val="24"/>
          <w:szCs w:val="22"/>
          <w:highlight w:val="none"/>
          <w:lang w:val="en-US" w:eastAsia="zh-CN" w:bidi="ar"/>
        </w:rPr>
        <w:t>自合同生效之日起7日内，根据用户需求完成系统迁移工作，并且不能改变和影响原有系统的功能、技术状态以及用户的使用习惯。未按时完成系统迁移工作的，采购人有权解除合同并有权要求供应商按合同首付款双倍支付违约金。</w:t>
      </w:r>
    </w:p>
    <w:p w14:paraId="55DD8491">
      <w:pPr>
        <w:numPr>
          <w:ilvl w:val="0"/>
          <w:numId w:val="0"/>
        </w:numPr>
        <w:adjustRightInd w:val="0"/>
        <w:spacing w:line="360" w:lineRule="auto"/>
        <w:jc w:val="left"/>
        <w:textAlignment w:val="baseline"/>
        <w:rPr>
          <w:rFonts w:hint="eastAsia" w:ascii="宋体" w:hAnsi="宋体" w:cs="宋体"/>
          <w:b w:val="0"/>
          <w:bCs w:val="0"/>
          <w:kern w:val="0"/>
          <w:sz w:val="24"/>
          <w:szCs w:val="22"/>
          <w:highlight w:val="none"/>
          <w:lang w:bidi="ar"/>
        </w:rPr>
      </w:pPr>
      <w:r>
        <w:rPr>
          <w:rFonts w:hint="eastAsia" w:ascii="宋体" w:hAnsi="宋体" w:cs="宋体"/>
          <w:b w:val="0"/>
          <w:bCs w:val="0"/>
          <w:kern w:val="0"/>
          <w:sz w:val="24"/>
          <w:szCs w:val="22"/>
          <w:highlight w:val="none"/>
          <w:lang w:bidi="ar"/>
        </w:rPr>
        <w:t>(四）运维团队要求</w:t>
      </w:r>
    </w:p>
    <w:p w14:paraId="07EF71C8">
      <w:pPr>
        <w:adjustRightInd w:val="0"/>
        <w:spacing w:line="360" w:lineRule="auto"/>
        <w:ind w:firstLine="480" w:firstLineChars="200"/>
        <w:jc w:val="left"/>
        <w:textAlignment w:val="baseline"/>
        <w:rPr>
          <w:rFonts w:ascii="宋体" w:hAnsi="宋体" w:eastAsia="宋体" w:cs="宋体"/>
          <w:sz w:val="24"/>
          <w:highlight w:val="none"/>
        </w:rPr>
      </w:pPr>
      <w:r>
        <w:rPr>
          <w:rFonts w:hint="eastAsia" w:ascii="宋体" w:hAnsi="宋体" w:eastAsia="宋体" w:cs="宋体"/>
          <w:sz w:val="24"/>
          <w:highlight w:val="none"/>
        </w:rPr>
        <w:t>服务期内，投标人须设有7×24小时电话响应服务、具备运维团队，提供售后服务保障。团队成员应明确职责，架构清晰，岗位设置合理，且具备与本项相关的项目经验。</w:t>
      </w:r>
    </w:p>
    <w:p w14:paraId="25DB9FA5">
      <w:pPr>
        <w:adjustRightInd w:val="0"/>
        <w:spacing w:line="360" w:lineRule="auto"/>
        <w:ind w:firstLine="480" w:firstLineChars="200"/>
        <w:jc w:val="left"/>
        <w:textAlignment w:val="baseline"/>
        <w:rPr>
          <w:rFonts w:ascii="宋体" w:hAnsi="宋体" w:eastAsia="宋体" w:cs="宋体"/>
          <w:sz w:val="24"/>
          <w:highlight w:val="none"/>
        </w:rPr>
      </w:pPr>
      <w:r>
        <w:rPr>
          <w:rFonts w:hint="eastAsia" w:ascii="宋体" w:hAnsi="宋体" w:eastAsia="宋体" w:cs="宋体"/>
          <w:sz w:val="24"/>
          <w:highlight w:val="none"/>
        </w:rPr>
        <w:t>投标人须提供1名项目经理及</w:t>
      </w:r>
      <w:r>
        <w:rPr>
          <w:rFonts w:ascii="宋体" w:hAnsi="宋体" w:eastAsia="宋体" w:cs="宋体"/>
          <w:sz w:val="24"/>
          <w:highlight w:val="none"/>
        </w:rPr>
        <w:t>若干</w:t>
      </w:r>
      <w:r>
        <w:rPr>
          <w:rFonts w:hint="eastAsia" w:ascii="宋体" w:hAnsi="宋体" w:eastAsia="宋体" w:cs="宋体"/>
          <w:sz w:val="24"/>
          <w:highlight w:val="none"/>
        </w:rPr>
        <w:t>名项目团队专职人员，为本项目提供服务。项目经理需按照采购人要求，承担云资源服务保障具体工作，技术支持人员要求如下：</w:t>
      </w:r>
    </w:p>
    <w:p w14:paraId="514336C0">
      <w:pPr>
        <w:adjustRightInd w:val="0"/>
        <w:spacing w:line="360" w:lineRule="auto"/>
        <w:ind w:firstLine="480" w:firstLineChars="200"/>
        <w:jc w:val="left"/>
        <w:textAlignment w:val="baseline"/>
        <w:rPr>
          <w:rFonts w:ascii="宋体" w:hAnsi="宋体" w:eastAsia="宋体" w:cs="宋体"/>
          <w:sz w:val="24"/>
          <w:highlight w:val="none"/>
        </w:rPr>
      </w:pPr>
      <w:r>
        <w:rPr>
          <w:rFonts w:hint="eastAsia" w:ascii="宋体" w:hAnsi="宋体" w:eastAsia="宋体" w:cs="宋体"/>
          <w:sz w:val="24"/>
          <w:highlight w:val="none"/>
        </w:rPr>
        <w:t>项目经理具有信息系统项目管理师（高级）证书</w:t>
      </w:r>
      <w:r>
        <w:rPr>
          <w:rFonts w:hint="eastAsia" w:ascii="宋体" w:hAnsi="宋体" w:cs="宋体"/>
          <w:sz w:val="24"/>
          <w:highlight w:val="none"/>
          <w:lang w:val="en-US" w:eastAsia="zh-CN"/>
        </w:rPr>
        <w:t>和CISP证书</w:t>
      </w:r>
      <w:r>
        <w:rPr>
          <w:rFonts w:hint="eastAsia" w:ascii="宋体" w:hAnsi="宋体" w:eastAsia="宋体" w:cs="宋体"/>
          <w:sz w:val="24"/>
          <w:highlight w:val="none"/>
        </w:rPr>
        <w:t>；</w:t>
      </w:r>
    </w:p>
    <w:p w14:paraId="22B5C2B5">
      <w:pPr>
        <w:adjustRightInd w:val="0"/>
        <w:spacing w:line="360" w:lineRule="auto"/>
        <w:ind w:firstLine="480" w:firstLineChars="200"/>
        <w:jc w:val="left"/>
        <w:textAlignment w:val="baseline"/>
        <w:rPr>
          <w:rFonts w:ascii="宋体" w:hAnsi="宋体" w:eastAsia="宋体" w:cs="宋体"/>
          <w:sz w:val="24"/>
          <w:highlight w:val="none"/>
        </w:rPr>
      </w:pPr>
      <w:r>
        <w:rPr>
          <w:rFonts w:hint="eastAsia" w:ascii="宋体" w:hAnsi="宋体" w:eastAsia="宋体" w:cs="宋体"/>
          <w:sz w:val="24"/>
          <w:highlight w:val="none"/>
        </w:rPr>
        <w:t>技术负责人具有CISP证书；</w:t>
      </w:r>
    </w:p>
    <w:p w14:paraId="0B4C10F4">
      <w:pPr>
        <w:adjustRightInd w:val="0"/>
        <w:spacing w:line="360" w:lineRule="auto"/>
        <w:ind w:firstLine="480" w:firstLineChars="200"/>
        <w:jc w:val="left"/>
        <w:textAlignment w:val="baseline"/>
        <w:rPr>
          <w:rFonts w:ascii="宋体" w:hAnsi="宋体" w:eastAsia="宋体" w:cs="宋体"/>
          <w:sz w:val="24"/>
          <w:highlight w:val="none"/>
        </w:rPr>
      </w:pPr>
      <w:r>
        <w:rPr>
          <w:rFonts w:hint="eastAsia" w:ascii="宋体" w:hAnsi="宋体" w:eastAsia="宋体" w:cs="宋体"/>
          <w:sz w:val="24"/>
          <w:highlight w:val="none"/>
        </w:rPr>
        <w:t>团队成员（除项目经理和技术负责人之外）具有CISP等证书。</w:t>
      </w:r>
    </w:p>
    <w:p w14:paraId="67F85016">
      <w:pPr>
        <w:numPr>
          <w:ilvl w:val="0"/>
          <w:numId w:val="0"/>
        </w:numPr>
        <w:adjustRightInd w:val="0"/>
        <w:spacing w:line="360" w:lineRule="auto"/>
        <w:jc w:val="left"/>
        <w:textAlignment w:val="baseline"/>
        <w:rPr>
          <w:rFonts w:hint="default" w:ascii="宋体" w:hAnsi="宋体" w:cs="宋体"/>
          <w:b w:val="0"/>
          <w:bCs w:val="0"/>
          <w:kern w:val="0"/>
          <w:sz w:val="24"/>
          <w:szCs w:val="22"/>
          <w:highlight w:val="none"/>
          <w:lang w:val="en-US" w:eastAsia="zh-CN" w:bidi="ar"/>
        </w:rPr>
      </w:pPr>
      <w:r>
        <w:rPr>
          <w:rFonts w:hint="eastAsia" w:ascii="宋体" w:hAnsi="宋体" w:cs="宋体"/>
          <w:b w:val="0"/>
          <w:bCs w:val="0"/>
          <w:kern w:val="0"/>
          <w:sz w:val="24"/>
          <w:szCs w:val="22"/>
          <w:highlight w:val="none"/>
          <w:lang w:val="en-US" w:eastAsia="zh-CN" w:bidi="ar"/>
        </w:rPr>
        <w:t>（五）保密要求</w:t>
      </w:r>
    </w:p>
    <w:p w14:paraId="55D8FE1A">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中标人因承接本合同约定项目所知悉的该项目信息或采购人信息，以及在项目实施过程中所产生的与该项目有关的全部信息均为采购人的保密信息，中标人应按照采购人关于保密工作的相关要求，对上述保密信息承担保密义务。中标人须严格遵守信息安全规定，不得利用系统维护服务时的便利对采购人数据及其他信息擅自修改或透漏给第三方。 </w:t>
      </w:r>
    </w:p>
    <w:p w14:paraId="27D82B5B">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2、中标人应对上述保密信息予以妥善保存，并保证仅将其用于与完成本合 同项下约定项目实施有关的用途或目的。在缺少相关保密条款约定时，对上述保密信息,中标人应至少采取适用于对自己商业秘密进行保护的同等保护措施和审慎程度进行保密。 </w:t>
      </w:r>
    </w:p>
    <w:p w14:paraId="2953236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3、中标人保证将保密信息的披露范围严格控制在直接从事该项目工作且因工作需要有必要知悉保密信息的工作人员范围内,对中标人非从事该项目的人员一律严格保密。</w:t>
      </w:r>
    </w:p>
    <w:p w14:paraId="4F9F9512">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4、中标人应保证在向其工作人员披露采购人的保密信息前，认真做好员工 的保密教育工作，明确告知其将知悉的为采购人的保密信息，并明确告知其需承担的保密义务及泄密所应承担的法律责任，并要求全体参与该项目的人员签署书面《保密协议》。</w:t>
      </w:r>
    </w:p>
    <w:p w14:paraId="208D5C2B">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5、任何时间内，一经采购人提出要求，中标人应按照采购人指示在收到采购人书面通知后5日内将含有保密信息的所有文件或其他资料归还采购人，且不得擅自复制留存。</w:t>
      </w:r>
    </w:p>
    <w:p w14:paraId="0EFD1A3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6、非经采购人特别授权，采购人向中标人提供的任何保密信息并不包括授予中标人该保密信息包含的任何专利权、商标权、著作权、商业秘密或其它类型的知识产权。</w:t>
      </w:r>
    </w:p>
    <w:p w14:paraId="2BF7FEB7">
      <w:pPr>
        <w:adjustRightInd w:val="0"/>
        <w:spacing w:line="360" w:lineRule="auto"/>
        <w:ind w:firstLine="482" w:firstLineChars="200"/>
        <w:jc w:val="left"/>
        <w:textAlignment w:val="baseline"/>
        <w:rPr>
          <w:rFonts w:ascii="宋体" w:hAnsi="宋体" w:cs="宋体"/>
          <w:b/>
          <w:bCs/>
          <w:kern w:val="0"/>
          <w:sz w:val="24"/>
          <w:szCs w:val="22"/>
          <w:highlight w:val="none"/>
          <w:lang w:bidi="ar"/>
        </w:rPr>
      </w:pPr>
      <w:r>
        <w:rPr>
          <w:rFonts w:hint="eastAsia" w:ascii="宋体" w:hAnsi="宋体" w:cs="宋体"/>
          <w:b/>
          <w:bCs/>
          <w:kern w:val="0"/>
          <w:sz w:val="24"/>
          <w:szCs w:val="22"/>
          <w:highlight w:val="none"/>
          <w:lang w:bidi="ar"/>
        </w:rPr>
        <w:t>四、政策性采购需求</w:t>
      </w:r>
    </w:p>
    <w:p w14:paraId="547A6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cs="宋体"/>
          <w:kern w:val="0"/>
          <w:sz w:val="24"/>
          <w:szCs w:val="22"/>
          <w:highlight w:val="none"/>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30C99B8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4F2FD"/>
    <w:multiLevelType w:val="singleLevel"/>
    <w:tmpl w:val="CD74F2F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5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table" w:customStyle="1" w:styleId="8">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9">
    <w:name w:val="font4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2026-05-09T03:39:25Z</dcterms:created>
  <dc:creator>luozhao</dc:creator>
  <cp:lastModifiedBy>LZ</cp:lastModifiedBy>
  <dcterms:modified xsi:type="dcterms:W3CDTF">2026-05-09T03:39:51Z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1274E2F2261B460EB450DD53301B4B9B_12</vt:lpwstr>
  </property>
</Properties>
</file>